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>Приказом Кыргызской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Кыргызской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C4E0802" w14:textId="657C14D7" w:rsidR="00FB6B36" w:rsidRDefault="00F02F3F" w:rsidP="00950684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56581B">
        <w:rPr>
          <w:rFonts w:eastAsia="Calibri"/>
          <w:b/>
          <w:sz w:val="24"/>
          <w:szCs w:val="24"/>
        </w:rPr>
        <w:t>известняка-ракушечника</w:t>
      </w:r>
    </w:p>
    <w:p w14:paraId="61593804" w14:textId="5CD0D5C9" w:rsidR="000C4534" w:rsidRPr="0056581B" w:rsidRDefault="009564E1" w:rsidP="00950684">
      <w:pPr>
        <w:jc w:val="center"/>
        <w:rPr>
          <w:rFonts w:eastAsia="Calibri"/>
          <w:b/>
          <w:sz w:val="24"/>
          <w:szCs w:val="24"/>
        </w:rPr>
      </w:pPr>
      <w:r w:rsidRPr="0056581B">
        <w:rPr>
          <w:rFonts w:eastAsia="Calibri"/>
          <w:b/>
          <w:sz w:val="24"/>
          <w:szCs w:val="24"/>
        </w:rPr>
        <w:t>«</w:t>
      </w:r>
      <w:r w:rsidR="0056581B" w:rsidRPr="0056581B">
        <w:rPr>
          <w:b/>
          <w:sz w:val="24"/>
          <w:szCs w:val="24"/>
          <w:lang w:val="ky-KG"/>
        </w:rPr>
        <w:t>Таш-Кумыр 1</w:t>
      </w:r>
      <w:r w:rsidRPr="0056581B">
        <w:rPr>
          <w:rFonts w:eastAsia="Calibri"/>
          <w:b/>
          <w:sz w:val="24"/>
          <w:szCs w:val="24"/>
        </w:rPr>
        <w:t>»</w:t>
      </w:r>
    </w:p>
    <w:p w14:paraId="36C6D4BC" w14:textId="77777777" w:rsidR="00F02F3F" w:rsidRPr="007F46F3" w:rsidRDefault="004D06B3" w:rsidP="00950684">
      <w:pPr>
        <w:pStyle w:val="2"/>
        <w:tabs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14:paraId="04DBFDA0" w14:textId="77777777" w:rsidR="00F02F3F" w:rsidRPr="007F46F3" w:rsidRDefault="00F02F3F" w:rsidP="00950684">
      <w:pPr>
        <w:pStyle w:val="2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6A2C5343" w:rsidR="00BC4BBE" w:rsidRDefault="00F02F3F" w:rsidP="00950684">
      <w:pPr>
        <w:tabs>
          <w:tab w:val="left" w:pos="1134"/>
        </w:tabs>
        <w:ind w:left="-142" w:firstLine="426"/>
        <w:jc w:val="both"/>
        <w:rPr>
          <w:b/>
          <w:sz w:val="24"/>
          <w:szCs w:val="24"/>
        </w:rPr>
      </w:pPr>
      <w:r w:rsidRPr="00950684">
        <w:rPr>
          <w:b/>
          <w:bCs/>
          <w:sz w:val="24"/>
          <w:szCs w:val="24"/>
        </w:rPr>
        <w:t>2.1.</w:t>
      </w:r>
      <w:r w:rsidR="00950684">
        <w:rPr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</w:t>
      </w:r>
      <w:r w:rsidR="00950684">
        <w:rPr>
          <w:sz w:val="24"/>
          <w:szCs w:val="24"/>
        </w:rPr>
        <w:t>п</w:t>
      </w:r>
      <w:r w:rsidRPr="007F46F3">
        <w:rPr>
          <w:sz w:val="24"/>
          <w:szCs w:val="24"/>
        </w:rPr>
        <w:t>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</w:t>
      </w:r>
      <w:r w:rsidR="00A93975">
        <w:rPr>
          <w:sz w:val="24"/>
          <w:szCs w:val="24"/>
        </w:rPr>
        <w:t xml:space="preserve">на </w:t>
      </w:r>
      <w:r w:rsidR="0056581B" w:rsidRPr="0056581B">
        <w:rPr>
          <w:rFonts w:eastAsia="Calibri"/>
          <w:bCs/>
          <w:sz w:val="24"/>
          <w:szCs w:val="24"/>
        </w:rPr>
        <w:t>известняк-ракушечник</w:t>
      </w:r>
      <w:r w:rsidR="00575E5A">
        <w:rPr>
          <w:sz w:val="24"/>
          <w:szCs w:val="24"/>
        </w:rPr>
        <w:t xml:space="preserve"> </w:t>
      </w:r>
      <w:r w:rsidR="00BC34AE" w:rsidRPr="00BC34AE">
        <w:rPr>
          <w:rFonts w:eastAsia="Calibri"/>
          <w:bCs/>
          <w:sz w:val="24"/>
          <w:szCs w:val="24"/>
        </w:rPr>
        <w:t xml:space="preserve">участке </w:t>
      </w:r>
      <w:r w:rsidR="0056581B" w:rsidRPr="0056581B">
        <w:rPr>
          <w:bCs/>
          <w:sz w:val="24"/>
          <w:szCs w:val="24"/>
          <w:lang w:val="ky-KG"/>
        </w:rPr>
        <w:t>Таш-Кумыр 1</w:t>
      </w:r>
      <w:r w:rsidR="00BC34AE" w:rsidRPr="0056581B">
        <w:rPr>
          <w:rFonts w:eastAsia="Calibri"/>
          <w:bCs/>
          <w:sz w:val="24"/>
          <w:szCs w:val="24"/>
        </w:rPr>
        <w:t>.</w:t>
      </w:r>
    </w:p>
    <w:p w14:paraId="68484369" w14:textId="5BE62EA8" w:rsidR="00950684" w:rsidRPr="00950684" w:rsidRDefault="00F02F3F" w:rsidP="00950684">
      <w:pPr>
        <w:ind w:left="-142" w:firstLine="426"/>
        <w:jc w:val="both"/>
        <w:rPr>
          <w:rFonts w:eastAsia="Calibri"/>
          <w:sz w:val="24"/>
          <w:szCs w:val="24"/>
        </w:rPr>
      </w:pPr>
      <w:r w:rsidRPr="00950684">
        <w:rPr>
          <w:b/>
          <w:bCs/>
          <w:sz w:val="24"/>
          <w:szCs w:val="24"/>
        </w:rPr>
        <w:t>2.2.</w:t>
      </w:r>
      <w:r w:rsidR="00950684">
        <w:rPr>
          <w:sz w:val="24"/>
          <w:szCs w:val="24"/>
        </w:rPr>
        <w:t xml:space="preserve">  </w:t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56581B" w:rsidRPr="0056581B">
        <w:rPr>
          <w:bCs/>
          <w:sz w:val="24"/>
          <w:szCs w:val="24"/>
          <w:lang w:val="ky-KG"/>
        </w:rPr>
        <w:t>Таш-Кумыр 1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3BECADBA" w:rsidR="00F02F3F" w:rsidRPr="00575E5A" w:rsidRDefault="00F02F3F" w:rsidP="00950684">
      <w:pPr>
        <w:ind w:left="-142" w:firstLine="426"/>
        <w:jc w:val="both"/>
        <w:rPr>
          <w:b/>
          <w:sz w:val="24"/>
          <w:szCs w:val="24"/>
          <w:lang w:val="ky-KG"/>
        </w:rPr>
      </w:pPr>
      <w:r w:rsidRPr="00950684">
        <w:rPr>
          <w:b/>
          <w:bCs/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56581B" w:rsidRPr="0056581B">
        <w:rPr>
          <w:rFonts w:eastAsia="Calibri"/>
          <w:bCs/>
          <w:sz w:val="24"/>
          <w:szCs w:val="24"/>
        </w:rPr>
        <w:t>известняк-ракушечник</w:t>
      </w:r>
    </w:p>
    <w:p w14:paraId="1E5390CC" w14:textId="77777777" w:rsidR="00950684" w:rsidRDefault="00F02F3F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="00950684">
        <w:rPr>
          <w:b/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Сведения об объекте недр:</w:t>
      </w:r>
      <w:r w:rsidR="00950684">
        <w:rPr>
          <w:b/>
          <w:sz w:val="24"/>
          <w:szCs w:val="24"/>
        </w:rPr>
        <w:t xml:space="preserve"> </w:t>
      </w:r>
    </w:p>
    <w:p w14:paraId="4B321BF2" w14:textId="15B67598" w:rsidR="00F02F3F" w:rsidRPr="00950684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Географическое расположение недр</w:t>
      </w:r>
      <w:r w:rsidRPr="007F46F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3376F">
        <w:rPr>
          <w:bCs/>
          <w:sz w:val="24"/>
          <w:szCs w:val="24"/>
        </w:rPr>
        <w:t>административно</w:t>
      </w:r>
      <w:r w:rsidR="00F02F3F" w:rsidRPr="007F46F3">
        <w:rPr>
          <w:sz w:val="24"/>
          <w:szCs w:val="24"/>
        </w:rPr>
        <w:t xml:space="preserve"> относится к </w:t>
      </w:r>
      <w:r w:rsidR="0056581B">
        <w:rPr>
          <w:sz w:val="22"/>
          <w:szCs w:val="22"/>
        </w:rPr>
        <w:t>Аксыйскому</w:t>
      </w:r>
      <w:r w:rsidR="0083376F" w:rsidRPr="0083376F">
        <w:rPr>
          <w:sz w:val="22"/>
          <w:szCs w:val="22"/>
        </w:rPr>
        <w:t xml:space="preserve"> район</w:t>
      </w:r>
      <w:r w:rsidR="0083376F" w:rsidRPr="0083376F">
        <w:rPr>
          <w:sz w:val="22"/>
          <w:szCs w:val="22"/>
          <w:lang w:val="ky-KG"/>
        </w:rPr>
        <w:t>у</w:t>
      </w:r>
      <w:r w:rsidR="0083376F" w:rsidRPr="0083376F">
        <w:rPr>
          <w:sz w:val="22"/>
          <w:szCs w:val="22"/>
        </w:rPr>
        <w:t xml:space="preserve"> </w:t>
      </w:r>
      <w:r w:rsidR="00F4723E" w:rsidRPr="00F4723E">
        <w:rPr>
          <w:sz w:val="22"/>
          <w:szCs w:val="22"/>
        </w:rPr>
        <w:t>Жалал-Абадской</w:t>
      </w:r>
      <w:r w:rsidR="00F4723E" w:rsidRPr="00B57BFB">
        <w:rPr>
          <w:b/>
          <w:bCs/>
          <w:sz w:val="22"/>
          <w:szCs w:val="22"/>
        </w:rPr>
        <w:t xml:space="preserve"> </w:t>
      </w:r>
      <w:r w:rsidR="0083376F" w:rsidRPr="0083376F">
        <w:rPr>
          <w:sz w:val="22"/>
          <w:szCs w:val="22"/>
        </w:rPr>
        <w:t>области</w:t>
      </w:r>
      <w:r w:rsidR="0083376F">
        <w:rPr>
          <w:sz w:val="22"/>
          <w:szCs w:val="22"/>
        </w:rPr>
        <w:t xml:space="preserve"> </w:t>
      </w:r>
      <w:r w:rsidR="00F02F3F" w:rsidRPr="007F46F3">
        <w:rPr>
          <w:sz w:val="24"/>
          <w:szCs w:val="24"/>
        </w:rPr>
        <w:t>КР.</w:t>
      </w:r>
    </w:p>
    <w:p w14:paraId="71D2398D" w14:textId="011F95B4" w:rsidR="00F02F3F" w:rsidRPr="00950684" w:rsidRDefault="00950684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Размеры лицензионной площади:</w:t>
      </w:r>
      <w:r>
        <w:rPr>
          <w:b/>
          <w:sz w:val="24"/>
          <w:szCs w:val="24"/>
        </w:rPr>
        <w:t xml:space="preserve"> </w:t>
      </w:r>
      <w:r w:rsidR="00F02F3F" w:rsidRPr="007F46F3">
        <w:rPr>
          <w:sz w:val="24"/>
          <w:szCs w:val="24"/>
        </w:rPr>
        <w:t xml:space="preserve">Контуры угловых точек </w:t>
      </w:r>
      <w:r w:rsidR="00F02F3F" w:rsidRPr="009564E1">
        <w:rPr>
          <w:sz w:val="24"/>
          <w:szCs w:val="24"/>
        </w:rPr>
        <w:t>лицензионной площади в системе координат</w:t>
      </w:r>
      <w:r w:rsidR="00F02F3F" w:rsidRPr="007F46F3">
        <w:rPr>
          <w:sz w:val="24"/>
          <w:szCs w:val="24"/>
        </w:rPr>
        <w:t xml:space="preserve"> для проведение геологоразведочных работ:</w:t>
      </w:r>
    </w:p>
    <w:p w14:paraId="00964329" w14:textId="1F9B1D64" w:rsidR="00950684" w:rsidRDefault="00950684" w:rsidP="007F46F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601"/>
        <w:gridCol w:w="1595"/>
        <w:gridCol w:w="921"/>
        <w:gridCol w:w="1596"/>
        <w:gridCol w:w="1596"/>
      </w:tblGrid>
      <w:tr w:rsidR="0056581B" w:rsidRPr="00D012E3" w14:paraId="5572199B" w14:textId="77777777" w:rsidTr="000640B8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B74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86D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AE08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39FA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1A31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92A2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У</w:t>
            </w:r>
          </w:p>
        </w:tc>
      </w:tr>
      <w:tr w:rsidR="0056581B" w:rsidRPr="00D012E3" w14:paraId="6F044A75" w14:textId="77777777" w:rsidTr="000640B8">
        <w:trPr>
          <w:trHeight w:val="26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776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FC6" w14:textId="77777777" w:rsidR="0056581B" w:rsidRPr="0056581B" w:rsidRDefault="0056581B" w:rsidP="000640B8">
            <w:pPr>
              <w:ind w:left="-21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56581B">
              <w:rPr>
                <w:color w:val="000000"/>
                <w:sz w:val="24"/>
                <w:szCs w:val="24"/>
                <w:lang w:val="ky-KG"/>
              </w:rPr>
              <w:t>13254512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AD4" w14:textId="77777777" w:rsidR="0056581B" w:rsidRPr="0056581B" w:rsidRDefault="0056581B" w:rsidP="000640B8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56581B">
              <w:rPr>
                <w:color w:val="000000"/>
                <w:sz w:val="24"/>
                <w:szCs w:val="24"/>
                <w:lang w:val="ky-KG"/>
              </w:rPr>
              <w:t>4590820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012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6581B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033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13254717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050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4591369</w:t>
            </w:r>
          </w:p>
        </w:tc>
      </w:tr>
      <w:tr w:rsidR="0056581B" w:rsidRPr="00D012E3" w14:paraId="041B8732" w14:textId="77777777" w:rsidTr="000640B8">
        <w:trPr>
          <w:trHeight w:val="1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4BD7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</w:rPr>
            </w:pPr>
            <w:r w:rsidRPr="0056581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8C9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13254531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AE8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4591376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F7D" w14:textId="77777777" w:rsidR="0056581B" w:rsidRPr="0056581B" w:rsidRDefault="0056581B" w:rsidP="000640B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6581B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F3A6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13254870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47D" w14:textId="77777777" w:rsidR="0056581B" w:rsidRPr="0056581B" w:rsidRDefault="0056581B" w:rsidP="000640B8">
            <w:pPr>
              <w:jc w:val="center"/>
              <w:rPr>
                <w:sz w:val="24"/>
                <w:szCs w:val="24"/>
                <w:lang w:val="ky-KG"/>
              </w:rPr>
            </w:pPr>
            <w:r w:rsidRPr="0056581B">
              <w:rPr>
                <w:sz w:val="24"/>
                <w:szCs w:val="24"/>
                <w:lang w:val="ky-KG"/>
              </w:rPr>
              <w:t>4591086</w:t>
            </w:r>
          </w:p>
        </w:tc>
      </w:tr>
    </w:tbl>
    <w:p w14:paraId="68AD6D85" w14:textId="77777777" w:rsidR="00950684" w:rsidRDefault="00950684" w:rsidP="007F46F3">
      <w:pPr>
        <w:pStyle w:val="111"/>
        <w:ind w:firstLine="567"/>
        <w:rPr>
          <w:sz w:val="24"/>
          <w:szCs w:val="24"/>
        </w:rPr>
      </w:pPr>
    </w:p>
    <w:p w14:paraId="2AE3E08D" w14:textId="496C0230" w:rsidR="0091762A" w:rsidRPr="007F46F3" w:rsidRDefault="0091762A" w:rsidP="00C824D6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C824D6">
        <w:rPr>
          <w:sz w:val="24"/>
          <w:szCs w:val="24"/>
        </w:rPr>
        <w:t>1</w:t>
      </w:r>
      <w:r w:rsidR="0056581B">
        <w:rPr>
          <w:sz w:val="24"/>
          <w:szCs w:val="24"/>
        </w:rPr>
        <w:t>2</w:t>
      </w:r>
      <w:r w:rsidR="00C824D6">
        <w:rPr>
          <w:sz w:val="24"/>
          <w:szCs w:val="24"/>
        </w:rPr>
        <w:t>,</w:t>
      </w:r>
      <w:r w:rsidR="0056581B">
        <w:rPr>
          <w:sz w:val="24"/>
          <w:szCs w:val="24"/>
        </w:rPr>
        <w:t>75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4A2F7EA6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C54640">
        <w:rPr>
          <w:i/>
          <w:sz w:val="24"/>
          <w:szCs w:val="24"/>
        </w:rPr>
        <w:t>Номенклатура листа топографической карты 1:100</w:t>
      </w:r>
      <w:r w:rsidR="00950684" w:rsidRPr="00C54640">
        <w:rPr>
          <w:i/>
          <w:sz w:val="24"/>
          <w:szCs w:val="24"/>
        </w:rPr>
        <w:t xml:space="preserve"> </w:t>
      </w:r>
      <w:r w:rsidRPr="00C54640">
        <w:rPr>
          <w:i/>
          <w:sz w:val="24"/>
          <w:szCs w:val="24"/>
        </w:rPr>
        <w:t xml:space="preserve">000 масштаба: </w:t>
      </w:r>
      <w:r w:rsidR="00757A3F" w:rsidRPr="00C54640">
        <w:rPr>
          <w:i/>
          <w:sz w:val="24"/>
          <w:szCs w:val="24"/>
        </w:rPr>
        <w:t>К</w:t>
      </w:r>
      <w:r w:rsidRPr="00C54640">
        <w:rPr>
          <w:i/>
          <w:sz w:val="24"/>
          <w:szCs w:val="24"/>
        </w:rPr>
        <w:t>-4</w:t>
      </w:r>
      <w:r w:rsidR="001F0530" w:rsidRPr="00C54640">
        <w:rPr>
          <w:i/>
          <w:sz w:val="24"/>
          <w:szCs w:val="24"/>
        </w:rPr>
        <w:t>3</w:t>
      </w:r>
      <w:r w:rsidRPr="00C54640">
        <w:rPr>
          <w:i/>
          <w:sz w:val="24"/>
          <w:szCs w:val="24"/>
        </w:rPr>
        <w:t>-</w:t>
      </w:r>
      <w:r w:rsidR="0056581B">
        <w:rPr>
          <w:i/>
          <w:sz w:val="24"/>
          <w:szCs w:val="24"/>
        </w:rPr>
        <w:t>8</w:t>
      </w:r>
      <w:r w:rsidR="00C54640" w:rsidRPr="00C54640">
        <w:rPr>
          <w:i/>
          <w:sz w:val="24"/>
          <w:szCs w:val="24"/>
        </w:rPr>
        <w:t>5</w:t>
      </w:r>
      <w:r w:rsidRPr="00C54640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4E261CBA" w14:textId="5C82D8DC" w:rsidR="00C54640" w:rsidRPr="00C54640" w:rsidRDefault="00F02F3F" w:rsidP="00C54640">
      <w:pPr>
        <w:ind w:firstLine="709"/>
        <w:jc w:val="center"/>
        <w:rPr>
          <w:b/>
          <w:sz w:val="24"/>
          <w:szCs w:val="24"/>
        </w:rPr>
      </w:pPr>
      <w:r w:rsidRPr="00C54640">
        <w:rPr>
          <w:b/>
          <w:sz w:val="24"/>
          <w:szCs w:val="24"/>
        </w:rPr>
        <w:t>Геологическая характеристика площади</w:t>
      </w:r>
    </w:p>
    <w:p w14:paraId="7C269F4B" w14:textId="46472DDF" w:rsidR="0056581B" w:rsidRDefault="0056581B" w:rsidP="00C54640">
      <w:pPr>
        <w:pStyle w:val="ab"/>
        <w:spacing w:before="0" w:beforeAutospacing="0" w:after="0" w:afterAutospacing="0"/>
        <w:ind w:firstLine="708"/>
        <w:jc w:val="both"/>
      </w:pPr>
      <w:bookmarkStart w:id="0" w:name="_GoBack"/>
      <w:r>
        <w:t>Месторождение известняка-ракушечника Таш-Кумыр 1 расположено на территории Аксыйского района Джалал-Абадской области Кыргызской Республики. Объект находится в районе правого притока реки Нарын.</w:t>
      </w:r>
    </w:p>
    <w:p w14:paraId="0CB79C67" w14:textId="77777777" w:rsidR="00F26791" w:rsidRPr="00F26791" w:rsidRDefault="00F26791" w:rsidP="00F26791">
      <w:pPr>
        <w:ind w:firstLine="567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Общие сведения, геологическое строение, качественная характеристика пород, химический состав, методика и результаты подсчёта запасов приведены «Справке о результатах геологоразведочных работ, проведенных на Кызыл-Джарской площади палеогеновых известняков в 2007 г.</w:t>
      </w:r>
      <w:r w:rsidRPr="00F26791">
        <w:rPr>
          <w:color w:val="000000"/>
          <w:sz w:val="24"/>
          <w:szCs w:val="24"/>
        </w:rPr>
        <w:tab/>
      </w:r>
    </w:p>
    <w:p w14:paraId="7AF7C0BB" w14:textId="77777777" w:rsidR="00F26791" w:rsidRPr="00F26791" w:rsidRDefault="00F26791" w:rsidP="00F26791">
      <w:pPr>
        <w:ind w:firstLine="567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Известняки от молочно-белого до серовато-розового и от светло-кремового до коричневого цвета. Мощность продуктивных известняков колеблется от 2,8 м до 3,5 м, составляя в среднем 3,0 м.</w:t>
      </w:r>
    </w:p>
    <w:p w14:paraId="0DA9B14F" w14:textId="77777777" w:rsidR="00F26791" w:rsidRPr="00F26791" w:rsidRDefault="00F26791" w:rsidP="00F26791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 xml:space="preserve">Структурном отношении продуктивные породы залегают </w:t>
      </w:r>
      <w:r w:rsidRPr="00F26791">
        <w:rPr>
          <w:color w:val="000000"/>
          <w:spacing w:val="-20"/>
          <w:sz w:val="24"/>
          <w:szCs w:val="24"/>
        </w:rPr>
        <w:t>моноклинально, почти горизонтально, с небольшим уклоном 5</w:t>
      </w:r>
      <w:r w:rsidRPr="00F26791">
        <w:rPr>
          <w:color w:val="000000"/>
          <w:spacing w:val="-20"/>
          <w:sz w:val="24"/>
          <w:szCs w:val="24"/>
          <w:vertAlign w:val="superscript"/>
        </w:rPr>
        <w:t>0</w:t>
      </w:r>
      <w:r w:rsidRPr="00F26791">
        <w:rPr>
          <w:color w:val="000000"/>
          <w:spacing w:val="-20"/>
          <w:sz w:val="24"/>
          <w:szCs w:val="24"/>
        </w:rPr>
        <w:t xml:space="preserve"> к западу.</w:t>
      </w:r>
    </w:p>
    <w:p w14:paraId="4203E26A" w14:textId="77777777" w:rsidR="00F26791" w:rsidRPr="00F26791" w:rsidRDefault="00F26791" w:rsidP="00F26791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Изучение месторождения проводилось геологическим картированием его поверхности в масштабе 1:5000, составлением геолого-литологических профилей туркестанских слоев, массовыми замерами трещин в продуктивных пластах, проходкой опытно-эксплуатационного карьера с определением выхода блочного и товарного камня и опробованием пород в обнажениях.</w:t>
      </w:r>
    </w:p>
    <w:p w14:paraId="2A11D79F" w14:textId="77777777" w:rsidR="00F26791" w:rsidRPr="00F26791" w:rsidRDefault="00F26791" w:rsidP="00F26791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В результате проведения геологических работ, лабораторных испытаний сырья и опытной распиловки блоков известняка в заводских условиях установлена пригодность известняков в качестве сырья для производства облицовочных изделий.</w:t>
      </w:r>
      <w:r w:rsidRPr="00F26791">
        <w:rPr>
          <w:color w:val="000000"/>
          <w:sz w:val="24"/>
          <w:szCs w:val="24"/>
        </w:rPr>
        <w:tab/>
        <w:t>В процессе полевых работ установлено распространение известняков в пределах Кызыл-Джарскои площади, изучен литолого-петрографический состав продуктивных пластов, определены морфология и условия залегания тел полезного ископаемого и непродуктивных пород.</w:t>
      </w:r>
    </w:p>
    <w:p w14:paraId="0989C3CF" w14:textId="77777777" w:rsidR="00F26791" w:rsidRPr="00F26791" w:rsidRDefault="00F26791" w:rsidP="00F26791">
      <w:pPr>
        <w:ind w:firstLine="708"/>
        <w:jc w:val="both"/>
        <w:rPr>
          <w:color w:val="000000"/>
          <w:sz w:val="24"/>
          <w:szCs w:val="24"/>
        </w:rPr>
      </w:pPr>
      <w:r w:rsidRPr="00F26791">
        <w:rPr>
          <w:color w:val="000000"/>
          <w:sz w:val="24"/>
          <w:szCs w:val="24"/>
        </w:rPr>
        <w:t>Сырье, белые, розоватые, коричневые, бордовые, кремовые, желтоватые известняки относятся к цветным, характеризуются высокой декоративностью и хорошо принимают полировку.</w:t>
      </w:r>
      <w:r w:rsidRPr="00F26791">
        <w:rPr>
          <w:color w:val="000000"/>
          <w:sz w:val="24"/>
          <w:szCs w:val="24"/>
        </w:rPr>
        <w:tab/>
      </w:r>
    </w:p>
    <w:p w14:paraId="052995E6" w14:textId="77777777" w:rsidR="00F26791" w:rsidRPr="00F26791" w:rsidRDefault="00F26791" w:rsidP="00F26791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>Качество полезного ископаемого охарактеризовано по отобранным пробам.</w:t>
      </w:r>
    </w:p>
    <w:p w14:paraId="276846CA" w14:textId="77777777" w:rsidR="00F26791" w:rsidRPr="00F26791" w:rsidRDefault="00F26791" w:rsidP="00F26791">
      <w:pPr>
        <w:ind w:firstLine="708"/>
        <w:jc w:val="both"/>
        <w:rPr>
          <w:sz w:val="24"/>
          <w:szCs w:val="24"/>
        </w:rPr>
      </w:pPr>
      <w:r w:rsidRPr="00F26791">
        <w:rPr>
          <w:color w:val="000000"/>
          <w:sz w:val="24"/>
          <w:szCs w:val="24"/>
        </w:rPr>
        <w:t xml:space="preserve">Механическая прочность известняков соответствует требованиям ГОСТ 9479-98 «Блоки из природного камня для производства облицовочных изделий» и ГОСТ 9480-98 «Плиты облицовочные пиленные из природного камня" Известняки морозостойкие, обладают слабым водонасыщением и могут быть использованы для внутренней и внешней облицовки зданий и сооружений, так </w:t>
      </w:r>
      <w:r w:rsidRPr="00F26791">
        <w:rPr>
          <w:color w:val="000000"/>
          <w:spacing w:val="-20"/>
          <w:sz w:val="24"/>
          <w:szCs w:val="24"/>
        </w:rPr>
        <w:t>же</w:t>
      </w:r>
      <w:r w:rsidRPr="00F26791">
        <w:rPr>
          <w:color w:val="000000"/>
          <w:sz w:val="24"/>
          <w:szCs w:val="24"/>
        </w:rPr>
        <w:t xml:space="preserve"> настила в них полов и лестничных маршей.</w:t>
      </w:r>
    </w:p>
    <w:p w14:paraId="667069A1" w14:textId="77777777" w:rsidR="00F26791" w:rsidRPr="00F26791" w:rsidRDefault="00F26791" w:rsidP="00F26791">
      <w:pPr>
        <w:ind w:firstLine="708"/>
        <w:jc w:val="both"/>
        <w:rPr>
          <w:color w:val="000000"/>
          <w:sz w:val="24"/>
          <w:szCs w:val="24"/>
        </w:rPr>
      </w:pPr>
      <w:r w:rsidRPr="00F26791">
        <w:rPr>
          <w:color w:val="000000"/>
          <w:sz w:val="24"/>
          <w:szCs w:val="24"/>
        </w:rPr>
        <w:t xml:space="preserve">По сложности геологического строения месторождение авторами отнесено к </w:t>
      </w:r>
      <w:r w:rsidRPr="00F26791">
        <w:rPr>
          <w:b/>
          <w:bCs/>
          <w:color w:val="000000"/>
          <w:sz w:val="24"/>
          <w:szCs w:val="24"/>
        </w:rPr>
        <w:t xml:space="preserve">III </w:t>
      </w:r>
      <w:r w:rsidRPr="00F26791">
        <w:rPr>
          <w:color w:val="000000"/>
          <w:sz w:val="24"/>
          <w:szCs w:val="24"/>
        </w:rPr>
        <w:t xml:space="preserve">группе месторождений каменных строительных материалов Моноклинально залегающие пластовые и пластообразные тела, выдержанные то строению и качественным показателям при выдержанной или закономерно изменяющейся общей мощности полезной толщи", но вернее бы было отнести локально изученный участок к </w:t>
      </w:r>
      <w:r w:rsidRPr="00F26791">
        <w:rPr>
          <w:b/>
          <w:bCs/>
          <w:color w:val="000000"/>
          <w:sz w:val="24"/>
          <w:szCs w:val="24"/>
        </w:rPr>
        <w:t xml:space="preserve">I </w:t>
      </w:r>
      <w:r w:rsidRPr="00F26791">
        <w:rPr>
          <w:color w:val="000000"/>
          <w:sz w:val="24"/>
          <w:szCs w:val="24"/>
        </w:rPr>
        <w:t xml:space="preserve">группе </w:t>
      </w:r>
      <w:r w:rsidRPr="00F26791">
        <w:rPr>
          <w:b/>
          <w:bCs/>
          <w:color w:val="000000"/>
          <w:sz w:val="24"/>
          <w:szCs w:val="24"/>
        </w:rPr>
        <w:t xml:space="preserve">II </w:t>
      </w:r>
      <w:r w:rsidRPr="00F26791">
        <w:rPr>
          <w:color w:val="000000"/>
          <w:sz w:val="24"/>
          <w:szCs w:val="24"/>
        </w:rPr>
        <w:t xml:space="preserve">подгруппе: «месторождения представленные горизонтально залегающими или пологопадающими пластообразными телами, ненарушенные или слабо нарушенные тектоническими процессами». </w:t>
      </w:r>
    </w:p>
    <w:p w14:paraId="68996BEF" w14:textId="77777777" w:rsidR="00C54640" w:rsidRPr="00C54640" w:rsidRDefault="00C54640" w:rsidP="00C54640">
      <w:pPr>
        <w:ind w:firstLine="709"/>
        <w:jc w:val="both"/>
        <w:rPr>
          <w:b/>
          <w:sz w:val="24"/>
          <w:szCs w:val="24"/>
          <w:highlight w:val="yellow"/>
        </w:rPr>
      </w:pPr>
    </w:p>
    <w:bookmarkEnd w:id="0"/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14:paraId="548B7C0D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C54640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5.</w:t>
      </w:r>
      <w:r w:rsidRPr="00C54640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270AC9A5" w14:textId="174146B3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271184" w:rsidRPr="00271184">
        <w:rPr>
          <w:rStyle w:val="FontStyle16"/>
          <w:rFonts w:eastAsia="Gungsuh"/>
          <w:sz w:val="24"/>
          <w:szCs w:val="24"/>
        </w:rPr>
        <w:t>27</w:t>
      </w:r>
      <w:r w:rsidRPr="00271184">
        <w:rPr>
          <w:rStyle w:val="FontStyle16"/>
          <w:rFonts w:eastAsia="Gungsuh"/>
          <w:sz w:val="24"/>
          <w:szCs w:val="24"/>
        </w:rPr>
        <w:t xml:space="preserve"> </w:t>
      </w:r>
      <w:r w:rsidR="00D950B4" w:rsidRPr="00271184">
        <w:rPr>
          <w:rStyle w:val="FontStyle16"/>
          <w:rFonts w:eastAsia="Gungsuh"/>
          <w:sz w:val="24"/>
          <w:szCs w:val="24"/>
        </w:rPr>
        <w:t>но</w:t>
      </w:r>
      <w:r w:rsidRPr="00271184">
        <w:rPr>
          <w:rStyle w:val="FontStyle16"/>
          <w:rFonts w:eastAsia="Gungsuh"/>
          <w:sz w:val="24"/>
          <w:szCs w:val="24"/>
        </w:rPr>
        <w:t>ября 2025</w:t>
      </w:r>
      <w:r w:rsidRPr="008107C9">
        <w:rPr>
          <w:rStyle w:val="FontStyle16"/>
          <w:rFonts w:eastAsia="Gungsuh"/>
          <w:sz w:val="24"/>
          <w:szCs w:val="24"/>
        </w:rPr>
        <w:t xml:space="preserve"> года в городе </w:t>
      </w:r>
      <w:r w:rsidR="00C16888">
        <w:rPr>
          <w:rStyle w:val="FontStyle16"/>
          <w:rFonts w:eastAsia="Gungsuh"/>
          <w:sz w:val="24"/>
          <w:szCs w:val="24"/>
        </w:rPr>
        <w:t>Кербен</w:t>
      </w:r>
      <w:r w:rsidRPr="008107C9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 w:rsidR="00C16888">
        <w:rPr>
          <w:rFonts w:ascii="Times New Roman" w:hAnsi="Times New Roman" w:cs="Times New Roman"/>
          <w:sz w:val="24"/>
          <w:szCs w:val="24"/>
        </w:rPr>
        <w:t>Аксый</w:t>
      </w:r>
      <w:r w:rsidRPr="008107C9">
        <w:rPr>
          <w:rFonts w:ascii="Times New Roman" w:hAnsi="Times New Roman" w:cs="Times New Roman"/>
          <w:sz w:val="24"/>
          <w:szCs w:val="24"/>
        </w:rPr>
        <w:t>ском</w:t>
      </w:r>
      <w:r w:rsidRPr="008107C9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Pr="008107C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107C9">
        <w:rPr>
          <w:rFonts w:ascii="Times New Roman" w:hAnsi="Times New Roman" w:cs="Times New Roman"/>
          <w:sz w:val="24"/>
          <w:szCs w:val="24"/>
        </w:rPr>
        <w:t xml:space="preserve"> Жалал-Абадской</w:t>
      </w:r>
      <w:r w:rsidRPr="008107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7C9">
        <w:rPr>
          <w:rFonts w:ascii="Times New Roman" w:hAnsi="Times New Roman" w:cs="Times New Roman"/>
          <w:sz w:val="24"/>
          <w:szCs w:val="24"/>
        </w:rPr>
        <w:t>области</w:t>
      </w:r>
      <w:r w:rsidRPr="008107C9"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Кыргызской Республики.</w:t>
      </w:r>
    </w:p>
    <w:p w14:paraId="63E679E8" w14:textId="1585C88A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Регистрация участников аукциона: с </w:t>
      </w:r>
      <w:r w:rsidR="00271184">
        <w:rPr>
          <w:rStyle w:val="FontStyle16"/>
          <w:rFonts w:eastAsia="Gungsuh"/>
          <w:sz w:val="24"/>
          <w:szCs w:val="24"/>
        </w:rPr>
        <w:t>9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30</w:t>
      </w:r>
      <w:r w:rsidRPr="008107C9">
        <w:rPr>
          <w:rStyle w:val="FontStyle16"/>
          <w:rFonts w:eastAsia="Gungsuh"/>
          <w:sz w:val="24"/>
          <w:szCs w:val="24"/>
        </w:rPr>
        <w:t xml:space="preserve"> часов до 1</w:t>
      </w:r>
      <w:r w:rsidR="00271184"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00</w:t>
      </w:r>
      <w:r w:rsidRPr="008107C9">
        <w:rPr>
          <w:rStyle w:val="FontStyle16"/>
          <w:rFonts w:eastAsia="Gungsuh"/>
          <w:sz w:val="24"/>
          <w:szCs w:val="24"/>
        </w:rPr>
        <w:t xml:space="preserve"> часов.</w:t>
      </w:r>
    </w:p>
    <w:p w14:paraId="1BDFB79D" w14:textId="4C990023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Начало аукциона: в 1</w:t>
      </w:r>
      <w:r w:rsidR="00271184"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00</w:t>
      </w:r>
      <w:r w:rsidR="00C16888">
        <w:rPr>
          <w:rStyle w:val="FontStyle16"/>
          <w:rFonts w:eastAsia="Gungsuh"/>
          <w:sz w:val="24"/>
          <w:szCs w:val="24"/>
        </w:rPr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часов.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C54640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6.</w:t>
      </w:r>
      <w:r w:rsidRPr="00C54640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4D6698C8" w14:textId="10D1D43E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Заявки принимаются </w:t>
      </w:r>
      <w:r w:rsidRPr="00C52FA9">
        <w:rPr>
          <w:rStyle w:val="FontStyle16"/>
          <w:rFonts w:eastAsia="Gungsuh"/>
          <w:sz w:val="24"/>
          <w:szCs w:val="24"/>
        </w:rPr>
        <w:t xml:space="preserve">с </w:t>
      </w:r>
      <w:r w:rsidR="00271184" w:rsidRPr="00271184">
        <w:rPr>
          <w:rStyle w:val="FontStyle16"/>
          <w:rFonts w:eastAsia="Gungsuh"/>
          <w:sz w:val="24"/>
          <w:szCs w:val="24"/>
        </w:rPr>
        <w:t>6</w:t>
      </w:r>
      <w:r w:rsidRPr="00271184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271184" w:rsidRPr="00271184">
        <w:rPr>
          <w:rStyle w:val="FontStyle16"/>
          <w:rFonts w:eastAsia="Gungsuh"/>
          <w:sz w:val="24"/>
          <w:szCs w:val="24"/>
          <w:lang w:val="ky-KG"/>
        </w:rPr>
        <w:t>октябрь</w:t>
      </w:r>
      <w:r w:rsidRPr="00271184">
        <w:rPr>
          <w:rStyle w:val="FontStyle16"/>
          <w:rFonts w:eastAsia="Gungsuh"/>
          <w:sz w:val="24"/>
          <w:szCs w:val="24"/>
        </w:rPr>
        <w:t xml:space="preserve"> 2025 года по </w:t>
      </w:r>
      <w:r w:rsidR="00271184" w:rsidRPr="00271184">
        <w:rPr>
          <w:rStyle w:val="FontStyle16"/>
          <w:rFonts w:eastAsia="Gungsuh"/>
          <w:sz w:val="24"/>
          <w:szCs w:val="24"/>
        </w:rPr>
        <w:t>19</w:t>
      </w:r>
      <w:r w:rsidRPr="00271184">
        <w:rPr>
          <w:rStyle w:val="FontStyle16"/>
          <w:rFonts w:eastAsia="Gungsuh"/>
          <w:sz w:val="24"/>
          <w:szCs w:val="24"/>
        </w:rPr>
        <w:t xml:space="preserve"> </w:t>
      </w:r>
      <w:r w:rsidR="005C3E4D" w:rsidRPr="00271184">
        <w:rPr>
          <w:rStyle w:val="FontStyle16"/>
          <w:rFonts w:eastAsia="Gungsuh"/>
          <w:sz w:val="24"/>
          <w:szCs w:val="24"/>
        </w:rPr>
        <w:t>ноя</w:t>
      </w:r>
      <w:r w:rsidRPr="00271184">
        <w:rPr>
          <w:rStyle w:val="FontStyle16"/>
          <w:rFonts w:eastAsia="Gungsuh"/>
          <w:sz w:val="24"/>
          <w:szCs w:val="24"/>
        </w:rPr>
        <w:t>бря 2025 года</w:t>
      </w:r>
      <w:r w:rsidRPr="00C52FA9">
        <w:rPr>
          <w:rStyle w:val="FontStyle16"/>
          <w:rFonts w:eastAsia="Gungsuh"/>
          <w:sz w:val="24"/>
          <w:szCs w:val="24"/>
        </w:rPr>
        <w:t xml:space="preserve"> включительно ежедневно в рабочие дни с 9-00 часов до 18-00 часов Управлением</w:t>
      </w:r>
      <w:r w:rsidRPr="008107C9">
        <w:rPr>
          <w:rStyle w:val="FontStyle16"/>
          <w:rFonts w:eastAsia="Gungsuh"/>
          <w:sz w:val="24"/>
          <w:szCs w:val="24"/>
        </w:rPr>
        <w:t xml:space="preserve"> геологии Кыргызской геологической службы Министерства природных ресурсов, экологии и технического надзора Кыргызской Республики, в каб. № 311.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2B2A454B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271184" w:rsidRPr="00271184">
        <w:rPr>
          <w:rStyle w:val="FontStyle16"/>
          <w:rFonts w:eastAsia="Gungsuh"/>
          <w:sz w:val="24"/>
          <w:szCs w:val="24"/>
        </w:rPr>
        <w:t>19</w:t>
      </w:r>
      <w:r w:rsidR="00C54640" w:rsidRPr="00271184">
        <w:rPr>
          <w:rStyle w:val="FontStyle16"/>
          <w:rFonts w:eastAsia="Gungsuh"/>
          <w:sz w:val="24"/>
          <w:szCs w:val="24"/>
        </w:rPr>
        <w:t xml:space="preserve"> </w:t>
      </w:r>
      <w:r w:rsidR="005C3E4D" w:rsidRPr="00271184">
        <w:rPr>
          <w:rStyle w:val="FontStyle16"/>
          <w:rFonts w:eastAsia="Gungsuh"/>
          <w:sz w:val="24"/>
          <w:szCs w:val="24"/>
        </w:rPr>
        <w:t>но</w:t>
      </w:r>
      <w:r w:rsidR="00C54640" w:rsidRPr="00271184">
        <w:rPr>
          <w:rStyle w:val="FontStyle16"/>
          <w:rFonts w:eastAsia="Gungsuh"/>
          <w:sz w:val="24"/>
          <w:szCs w:val="24"/>
        </w:rPr>
        <w:t xml:space="preserve">ября </w:t>
      </w:r>
      <w:r w:rsidRPr="00271184">
        <w:rPr>
          <w:rStyle w:val="FontStyle16"/>
          <w:rFonts w:eastAsia="Gungsuh"/>
          <w:sz w:val="24"/>
          <w:szCs w:val="24"/>
        </w:rPr>
        <w:t>202</w:t>
      </w:r>
      <w:r w:rsidR="00120CF4" w:rsidRPr="00271184">
        <w:rPr>
          <w:rStyle w:val="FontStyle16"/>
          <w:rFonts w:eastAsia="Gungsuh"/>
          <w:sz w:val="24"/>
          <w:szCs w:val="24"/>
        </w:rPr>
        <w:t>5</w:t>
      </w:r>
      <w:r w:rsidRPr="00271184">
        <w:rPr>
          <w:rStyle w:val="FontStyle16"/>
          <w:rFonts w:eastAsia="Gungsuh"/>
          <w:sz w:val="24"/>
          <w:szCs w:val="24"/>
        </w:rPr>
        <w:t xml:space="preserve"> года</w:t>
      </w:r>
      <w:r w:rsidRPr="008047AA">
        <w:rPr>
          <w:rStyle w:val="FontStyle16"/>
          <w:rFonts w:eastAsia="Gungsuh"/>
          <w:sz w:val="24"/>
          <w:szCs w:val="24"/>
        </w:rPr>
        <w:t xml:space="preserve">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147734D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4C6116" w:rsidRPr="004C6116">
        <w:rPr>
          <w:rStyle w:val="FontStyle16"/>
          <w:rFonts w:eastAsia="Gungsuh"/>
          <w:b/>
          <w:sz w:val="24"/>
          <w:szCs w:val="24"/>
        </w:rPr>
        <w:t>1</w:t>
      </w:r>
      <w:r w:rsidR="00927671">
        <w:rPr>
          <w:rStyle w:val="FontStyle16"/>
          <w:rFonts w:eastAsia="Gungsuh"/>
          <w:b/>
          <w:sz w:val="24"/>
          <w:szCs w:val="24"/>
        </w:rPr>
        <w:t xml:space="preserve"> </w:t>
      </w:r>
      <w:r w:rsidR="00C16888">
        <w:rPr>
          <w:rStyle w:val="FontStyle16"/>
          <w:rFonts w:eastAsia="Gungsuh"/>
          <w:b/>
          <w:sz w:val="24"/>
          <w:szCs w:val="24"/>
        </w:rPr>
        <w:t>300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404CDF54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C16888">
        <w:rPr>
          <w:rStyle w:val="FontStyle16"/>
          <w:rFonts w:eastAsia="Gungsuh"/>
          <w:sz w:val="24"/>
          <w:szCs w:val="24"/>
        </w:rPr>
        <w:t>8</w:t>
      </w:r>
      <w:r w:rsidR="006037FF">
        <w:rPr>
          <w:rStyle w:val="FontStyle16"/>
          <w:rFonts w:eastAsia="Gungsuh"/>
          <w:sz w:val="24"/>
          <w:szCs w:val="24"/>
        </w:rPr>
        <w:t xml:space="preserve"> </w:t>
      </w:r>
      <w:r w:rsidR="00C16888">
        <w:rPr>
          <w:rStyle w:val="FontStyle16"/>
          <w:rFonts w:eastAsia="Gungsuh"/>
          <w:sz w:val="24"/>
          <w:szCs w:val="24"/>
        </w:rPr>
        <w:t>25</w:t>
      </w:r>
      <w:r w:rsidR="00D950B4">
        <w:rPr>
          <w:rStyle w:val="FontStyle16"/>
          <w:rFonts w:eastAsia="Gungsuh"/>
          <w:sz w:val="24"/>
          <w:szCs w:val="24"/>
        </w:rPr>
        <w:t>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60D94B4D" w14:textId="7EE3C672" w:rsidR="006037FF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C16888">
        <w:rPr>
          <w:rStyle w:val="FontStyle16"/>
          <w:rFonts w:eastAsia="Gungsuh"/>
          <w:sz w:val="24"/>
          <w:szCs w:val="24"/>
        </w:rPr>
        <w:t>83</w:t>
      </w:r>
      <w:r w:rsidR="00D950B4">
        <w:rPr>
          <w:rStyle w:val="FontStyle16"/>
          <w:rFonts w:eastAsia="Gungsuh"/>
          <w:sz w:val="24"/>
          <w:szCs w:val="24"/>
        </w:rPr>
        <w:t>0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09DACE13" w:rsidR="00F41199" w:rsidRDefault="00271184" w:rsidP="006037FF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lastRenderedPageBreak/>
        <w:t>41</w:t>
      </w:r>
      <w:r w:rsidR="006037FF">
        <w:rPr>
          <w:rStyle w:val="FontStyle16"/>
          <w:rFonts w:eastAsia="Gungsuh"/>
          <w:sz w:val="24"/>
          <w:szCs w:val="24"/>
        </w:rPr>
        <w:t xml:space="preserve"> </w:t>
      </w:r>
      <w:r>
        <w:rPr>
          <w:rStyle w:val="FontStyle16"/>
          <w:rFonts w:eastAsia="Gungsuh"/>
          <w:sz w:val="24"/>
          <w:szCs w:val="24"/>
        </w:rPr>
        <w:t>250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9BB9" w14:textId="77777777" w:rsidR="009D11CB" w:rsidRDefault="009D11CB" w:rsidP="00B95777">
      <w:r>
        <w:separator/>
      </w:r>
    </w:p>
  </w:endnote>
  <w:endnote w:type="continuationSeparator" w:id="0">
    <w:p w14:paraId="3F65F82D" w14:textId="77777777" w:rsidR="009D11CB" w:rsidRDefault="009D11CB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7F6BFEAD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7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61D03" w14:textId="77777777" w:rsidR="009D11CB" w:rsidRDefault="009D11CB" w:rsidP="00B95777">
      <w:r>
        <w:separator/>
      </w:r>
    </w:p>
  </w:footnote>
  <w:footnote w:type="continuationSeparator" w:id="0">
    <w:p w14:paraId="34CB8726" w14:textId="77777777" w:rsidR="009D11CB" w:rsidRDefault="009D11CB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38DF"/>
    <w:rsid w:val="00023FCC"/>
    <w:rsid w:val="000269D2"/>
    <w:rsid w:val="0007593C"/>
    <w:rsid w:val="00084329"/>
    <w:rsid w:val="000B4E1C"/>
    <w:rsid w:val="000C4534"/>
    <w:rsid w:val="000C7363"/>
    <w:rsid w:val="000F2E91"/>
    <w:rsid w:val="0012078E"/>
    <w:rsid w:val="00120CF4"/>
    <w:rsid w:val="0013727F"/>
    <w:rsid w:val="00163E7A"/>
    <w:rsid w:val="001E6458"/>
    <w:rsid w:val="001F0530"/>
    <w:rsid w:val="001F1467"/>
    <w:rsid w:val="00227DC0"/>
    <w:rsid w:val="002334EF"/>
    <w:rsid w:val="00256C9F"/>
    <w:rsid w:val="00265FF7"/>
    <w:rsid w:val="00271184"/>
    <w:rsid w:val="002B202D"/>
    <w:rsid w:val="002B5BDD"/>
    <w:rsid w:val="002B61C3"/>
    <w:rsid w:val="002C1641"/>
    <w:rsid w:val="002D33D4"/>
    <w:rsid w:val="002F49EA"/>
    <w:rsid w:val="002F513E"/>
    <w:rsid w:val="00306A70"/>
    <w:rsid w:val="003074B3"/>
    <w:rsid w:val="00347AED"/>
    <w:rsid w:val="00366C43"/>
    <w:rsid w:val="003737F6"/>
    <w:rsid w:val="003B77A5"/>
    <w:rsid w:val="003C51A4"/>
    <w:rsid w:val="003D56C3"/>
    <w:rsid w:val="003F1BF3"/>
    <w:rsid w:val="00446D7E"/>
    <w:rsid w:val="00466F24"/>
    <w:rsid w:val="00467055"/>
    <w:rsid w:val="00483AB7"/>
    <w:rsid w:val="00491C39"/>
    <w:rsid w:val="00497214"/>
    <w:rsid w:val="004C6116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581B"/>
    <w:rsid w:val="00566791"/>
    <w:rsid w:val="00575E5A"/>
    <w:rsid w:val="00576A5F"/>
    <w:rsid w:val="00577108"/>
    <w:rsid w:val="00594CFC"/>
    <w:rsid w:val="005B276A"/>
    <w:rsid w:val="005C3E4D"/>
    <w:rsid w:val="005D1A18"/>
    <w:rsid w:val="005D471F"/>
    <w:rsid w:val="006037FF"/>
    <w:rsid w:val="00613DC5"/>
    <w:rsid w:val="00631751"/>
    <w:rsid w:val="00647DBC"/>
    <w:rsid w:val="0065273C"/>
    <w:rsid w:val="006A643F"/>
    <w:rsid w:val="006F0ED2"/>
    <w:rsid w:val="006F20BE"/>
    <w:rsid w:val="00703414"/>
    <w:rsid w:val="00713DC4"/>
    <w:rsid w:val="0072419B"/>
    <w:rsid w:val="00724CD9"/>
    <w:rsid w:val="00741D5F"/>
    <w:rsid w:val="00757A3F"/>
    <w:rsid w:val="007845A3"/>
    <w:rsid w:val="007F4429"/>
    <w:rsid w:val="007F46F3"/>
    <w:rsid w:val="007F70B7"/>
    <w:rsid w:val="0080076F"/>
    <w:rsid w:val="008047AA"/>
    <w:rsid w:val="00822E1C"/>
    <w:rsid w:val="00831790"/>
    <w:rsid w:val="00831BD3"/>
    <w:rsid w:val="0083376F"/>
    <w:rsid w:val="00846397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91762A"/>
    <w:rsid w:val="00923D72"/>
    <w:rsid w:val="00927671"/>
    <w:rsid w:val="00937DC4"/>
    <w:rsid w:val="00950684"/>
    <w:rsid w:val="00950773"/>
    <w:rsid w:val="009564E1"/>
    <w:rsid w:val="009718A3"/>
    <w:rsid w:val="0099197C"/>
    <w:rsid w:val="009B436A"/>
    <w:rsid w:val="009C08E1"/>
    <w:rsid w:val="009D11CB"/>
    <w:rsid w:val="00A3349D"/>
    <w:rsid w:val="00A45294"/>
    <w:rsid w:val="00A93975"/>
    <w:rsid w:val="00AB2602"/>
    <w:rsid w:val="00AC23C6"/>
    <w:rsid w:val="00AF2918"/>
    <w:rsid w:val="00B023D6"/>
    <w:rsid w:val="00B4238F"/>
    <w:rsid w:val="00B52332"/>
    <w:rsid w:val="00B756B0"/>
    <w:rsid w:val="00B95777"/>
    <w:rsid w:val="00BA288D"/>
    <w:rsid w:val="00BC34AE"/>
    <w:rsid w:val="00BC3D92"/>
    <w:rsid w:val="00BC4BBE"/>
    <w:rsid w:val="00BD7032"/>
    <w:rsid w:val="00BE2F73"/>
    <w:rsid w:val="00C162D5"/>
    <w:rsid w:val="00C16888"/>
    <w:rsid w:val="00C30DE4"/>
    <w:rsid w:val="00C330C2"/>
    <w:rsid w:val="00C415D3"/>
    <w:rsid w:val="00C467EB"/>
    <w:rsid w:val="00C54640"/>
    <w:rsid w:val="00C54E61"/>
    <w:rsid w:val="00C6765C"/>
    <w:rsid w:val="00C73FB1"/>
    <w:rsid w:val="00C824D6"/>
    <w:rsid w:val="00CA23C3"/>
    <w:rsid w:val="00CB08FC"/>
    <w:rsid w:val="00CB4E61"/>
    <w:rsid w:val="00CE17CA"/>
    <w:rsid w:val="00D13278"/>
    <w:rsid w:val="00D46246"/>
    <w:rsid w:val="00D77DBF"/>
    <w:rsid w:val="00D950B4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1354"/>
    <w:rsid w:val="00E81CD8"/>
    <w:rsid w:val="00EA0BFC"/>
    <w:rsid w:val="00EB0D73"/>
    <w:rsid w:val="00ED5B22"/>
    <w:rsid w:val="00EE5B94"/>
    <w:rsid w:val="00F02F3F"/>
    <w:rsid w:val="00F26791"/>
    <w:rsid w:val="00F41199"/>
    <w:rsid w:val="00F4723E"/>
    <w:rsid w:val="00F477C0"/>
    <w:rsid w:val="00F522C2"/>
    <w:rsid w:val="00F53422"/>
    <w:rsid w:val="00F62060"/>
    <w:rsid w:val="00F73A04"/>
    <w:rsid w:val="00F84596"/>
    <w:rsid w:val="00F942AE"/>
    <w:rsid w:val="00F954BE"/>
    <w:rsid w:val="00F9633A"/>
    <w:rsid w:val="00FB6B36"/>
    <w:rsid w:val="00FD5724"/>
    <w:rsid w:val="00FD75AA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C54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C3F8-F561-432D-A95A-4AB5D837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2025-10-02T08:29:00Z</cp:lastPrinted>
  <dcterms:created xsi:type="dcterms:W3CDTF">2025-09-08T12:45:00Z</dcterms:created>
  <dcterms:modified xsi:type="dcterms:W3CDTF">2025-10-02T08:38:00Z</dcterms:modified>
</cp:coreProperties>
</file>