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8020" w14:textId="577D5A11" w:rsidR="00EE0655" w:rsidRPr="00F75DFD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F75DFD">
        <w:rPr>
          <w:rFonts w:ascii="Times New Roman" w:hAnsi="Times New Roman"/>
          <w:b/>
          <w:bCs/>
          <w:sz w:val="24"/>
          <w:szCs w:val="24"/>
          <w:lang w:val="ky-KG"/>
        </w:rPr>
        <w:t>2</w:t>
      </w:r>
      <w:bookmarkStart w:id="0" w:name="_GoBack"/>
      <w:bookmarkEnd w:id="0"/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2224CA62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ведк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песка «Кольцо </w:t>
      </w:r>
      <w:r w:rsidR="009214E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Булак-Башы</w:t>
      </w:r>
      <w:r w:rsidR="007C0EE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2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06478F96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294D38" w:rsidRPr="00294D38">
        <w:rPr>
          <w:rFonts w:ascii="Times New Roman" w:hAnsi="Times New Roman"/>
          <w:sz w:val="24"/>
          <w:szCs w:val="24"/>
        </w:rPr>
        <w:t xml:space="preserve">разведки участка кварцевого песка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7C0EE3">
        <w:rPr>
          <w:rFonts w:ascii="Times New Roman" w:hAnsi="Times New Roman"/>
          <w:sz w:val="24"/>
          <w:szCs w:val="24"/>
          <w:lang w:val="ky-KG"/>
        </w:rPr>
        <w:t xml:space="preserve"> 2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7F5BF10A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7C0EE3">
        <w:rPr>
          <w:rFonts w:ascii="Times New Roman" w:hAnsi="Times New Roman"/>
          <w:sz w:val="24"/>
          <w:szCs w:val="24"/>
          <w:lang w:val="ky-KG"/>
        </w:rPr>
        <w:t xml:space="preserve"> 2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26022B8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южнее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села Булак-Баши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0506D07A" w14:textId="26AE96F5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38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21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5B30193A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5710D3">
        <w:rPr>
          <w:rFonts w:ascii="Times New Roman" w:hAnsi="Times New Roman" w:cs="Times New Roman"/>
          <w:sz w:val="24"/>
          <w:szCs w:val="24"/>
          <w:lang w:val="ky-KG"/>
        </w:rPr>
        <w:t>50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293354" w:rsidRPr="00D012E3" w14:paraId="63F3EA6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28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D63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9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B5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FCB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BB2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293354" w:rsidRPr="00E37840" w14:paraId="799275D7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39B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5" w14:textId="77777777" w:rsidR="00293354" w:rsidRPr="00E37840" w:rsidRDefault="00293354" w:rsidP="002F39C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12550068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79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4427743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5F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311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BF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4427632</w:t>
            </w:r>
          </w:p>
        </w:tc>
      </w:tr>
      <w:tr w:rsidR="00293354" w:rsidRPr="00E37840" w14:paraId="0FE92AF3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E13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D9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32D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4427736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4A0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858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FB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4427614</w:t>
            </w:r>
          </w:p>
        </w:tc>
      </w:tr>
      <w:tr w:rsidR="00293354" w14:paraId="1AB1770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5DA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AA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E3C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4427705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E0F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A0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049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4427591</w:t>
            </w:r>
          </w:p>
        </w:tc>
      </w:tr>
      <w:tr w:rsidR="00293354" w14:paraId="1866A4CB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E76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351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B16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A9B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E5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36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4427563</w:t>
            </w:r>
          </w:p>
        </w:tc>
      </w:tr>
      <w:tr w:rsidR="00293354" w14:paraId="2FA8950D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072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0F1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F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2CB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925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A4A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4427459</w:t>
            </w:r>
          </w:p>
        </w:tc>
      </w:tr>
      <w:tr w:rsidR="00293354" w14:paraId="39CF4767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817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86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0F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7C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137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59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4427547</w:t>
            </w:r>
          </w:p>
        </w:tc>
      </w:tr>
      <w:tr w:rsidR="00293354" w14:paraId="55425541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DBD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4E7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236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F4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57A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12549928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14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4427673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27FB4EFC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293354">
        <w:rPr>
          <w:sz w:val="24"/>
          <w:szCs w:val="24"/>
          <w:lang w:val="ky-KG"/>
        </w:rPr>
        <w:t>5</w:t>
      </w:r>
      <w:r w:rsidRPr="005412C2">
        <w:rPr>
          <w:sz w:val="24"/>
          <w:szCs w:val="24"/>
        </w:rPr>
        <w:t xml:space="preserve"> км</w:t>
      </w:r>
      <w:proofErr w:type="gramStart"/>
      <w:r w:rsidRPr="005412C2">
        <w:rPr>
          <w:sz w:val="24"/>
          <w:szCs w:val="24"/>
          <w:vertAlign w:val="superscript"/>
        </w:rPr>
        <w:t>2</w:t>
      </w:r>
      <w:proofErr w:type="gramEnd"/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B7309A">
        <w:rPr>
          <w:sz w:val="24"/>
          <w:szCs w:val="24"/>
        </w:rPr>
        <w:t>5</w:t>
      </w:r>
      <w:r w:rsidR="00293354">
        <w:rPr>
          <w:sz w:val="24"/>
          <w:szCs w:val="24"/>
          <w:lang w:val="ky-KG"/>
        </w:rPr>
        <w:t>,0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506A63A3" w:rsidR="005412C2" w:rsidRPr="005412C2" w:rsidRDefault="00A83C87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C7D56B5" wp14:editId="47B77495">
            <wp:extent cx="5940425" cy="35407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46.0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 xml:space="preserve">На месторождении Кольцо-Половинка, </w:t>
      </w:r>
      <w:proofErr w:type="gramStart"/>
      <w:r w:rsidRPr="00B7309A">
        <w:rPr>
          <w:rFonts w:ascii="Times New Roman" w:hAnsi="Times New Roman" w:cs="Times New Roman"/>
          <w:sz w:val="24"/>
          <w:szCs w:val="24"/>
        </w:rPr>
        <w:t>имеются четыре пласта кварцевых песков мелового возраста общей мощностью 30м залегают</w:t>
      </w:r>
      <w:proofErr w:type="gramEnd"/>
      <w:r w:rsidRPr="00B7309A">
        <w:rPr>
          <w:rFonts w:ascii="Times New Roman" w:hAnsi="Times New Roman" w:cs="Times New Roman"/>
          <w:sz w:val="24"/>
          <w:szCs w:val="24"/>
        </w:rPr>
        <w:t xml:space="preserve">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5412C2">
        <w:rPr>
          <w:rStyle w:val="FontStyle16"/>
          <w:sz w:val="24"/>
          <w:szCs w:val="24"/>
        </w:rPr>
        <w:t>на право пользование</w:t>
      </w:r>
      <w:proofErr w:type="gramEnd"/>
      <w:r w:rsidRPr="005412C2">
        <w:rPr>
          <w:rStyle w:val="FontStyle16"/>
          <w:sz w:val="24"/>
          <w:szCs w:val="24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lastRenderedPageBreak/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5412C2">
        <w:rPr>
          <w:rStyle w:val="FontStyle16"/>
          <w:sz w:val="24"/>
          <w:szCs w:val="24"/>
        </w:rPr>
        <w:t>недропользователем</w:t>
      </w:r>
      <w:proofErr w:type="spellEnd"/>
      <w:r w:rsidRPr="005412C2">
        <w:rPr>
          <w:rStyle w:val="FontStyle16"/>
          <w:sz w:val="24"/>
          <w:szCs w:val="24"/>
        </w:rPr>
        <w:t xml:space="preserve">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7C8A6E2A" w14:textId="6542C3BA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</w:t>
      </w:r>
      <w:r w:rsidR="002F61FC">
        <w:rPr>
          <w:rStyle w:val="FontStyle16"/>
          <w:sz w:val="24"/>
          <w:szCs w:val="24"/>
          <w:lang w:val="ky-KG" w:eastAsia="ru-RU"/>
        </w:rPr>
        <w:t>1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="00A67E5A">
        <w:rPr>
          <w:rStyle w:val="FontStyle16"/>
          <w:sz w:val="24"/>
          <w:szCs w:val="24"/>
          <w:lang w:eastAsia="ru-RU"/>
        </w:rPr>
        <w:t>ию</w:t>
      </w:r>
      <w:proofErr w:type="spellEnd"/>
      <w:r w:rsidR="002F61FC">
        <w:rPr>
          <w:rStyle w:val="FontStyle16"/>
          <w:sz w:val="24"/>
          <w:szCs w:val="24"/>
          <w:lang w:val="ky-KG" w:eastAsia="ru-RU"/>
        </w:rPr>
        <w:t>л</w:t>
      </w:r>
      <w:r w:rsidR="00A67E5A">
        <w:rPr>
          <w:rStyle w:val="FontStyle16"/>
          <w:sz w:val="24"/>
          <w:szCs w:val="24"/>
          <w:lang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CF7309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CF7309">
        <w:rPr>
          <w:rStyle w:val="FontStyle16"/>
          <w:sz w:val="24"/>
          <w:szCs w:val="24"/>
          <w:lang w:eastAsia="ru-RU"/>
        </w:rPr>
        <w:t>Баткен</w:t>
      </w:r>
      <w:r w:rsidRPr="005412C2">
        <w:rPr>
          <w:rStyle w:val="FontStyle16"/>
          <w:sz w:val="24"/>
          <w:szCs w:val="24"/>
          <w:lang w:val="ky-KG" w:eastAsia="ru-RU"/>
        </w:rPr>
        <w:t>ской</w:t>
      </w:r>
      <w:r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65B12CA1" w14:textId="307834CE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 w:rsidR="00CF7309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590A0191" w14:textId="69E4F43F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2F61FC">
        <w:rPr>
          <w:rStyle w:val="FontStyle16"/>
          <w:sz w:val="24"/>
          <w:szCs w:val="24"/>
          <w:lang w:val="ky-KG" w:eastAsia="ru-RU"/>
        </w:rPr>
        <w:t>13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2F61FC">
        <w:rPr>
          <w:rStyle w:val="FontStyle16"/>
          <w:sz w:val="24"/>
          <w:szCs w:val="24"/>
          <w:lang w:val="ky-KG" w:eastAsia="ru-RU"/>
        </w:rPr>
        <w:t>мая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2F61FC">
        <w:rPr>
          <w:rStyle w:val="FontStyle16"/>
          <w:sz w:val="24"/>
          <w:szCs w:val="24"/>
          <w:lang w:val="ky-KG" w:eastAsia="ru-RU"/>
        </w:rPr>
        <w:t>26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CF7309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 w:rsidR="00CF7309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BD070F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="00BD070F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BD070F">
        <w:rPr>
          <w:rStyle w:val="FontStyle16"/>
          <w:rFonts w:eastAsia="Gungsuh"/>
          <w:sz w:val="24"/>
          <w:szCs w:val="24"/>
        </w:rPr>
        <w:t>. № 3</w:t>
      </w:r>
      <w:r w:rsidR="00CF7309">
        <w:rPr>
          <w:rStyle w:val="FontStyle16"/>
          <w:rFonts w:eastAsia="Gungsuh"/>
          <w:sz w:val="24"/>
          <w:szCs w:val="24"/>
        </w:rPr>
        <w:t>11</w:t>
      </w:r>
      <w:r w:rsidR="00BD070F">
        <w:rPr>
          <w:rStyle w:val="FontStyle16"/>
          <w:rFonts w:eastAsia="Gungsuh"/>
          <w:sz w:val="24"/>
          <w:szCs w:val="24"/>
        </w:rPr>
        <w:t>.</w:t>
      </w:r>
    </w:p>
    <w:p w14:paraId="6FEAF2C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2371046E" w14:textId="5186C567" w:rsidR="00BD070F" w:rsidRDefault="00BD070F" w:rsidP="00BD070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</w:t>
      </w:r>
      <w:r w:rsidR="00CF7309">
        <w:rPr>
          <w:rStyle w:val="FontStyle16"/>
          <w:rFonts w:eastAsia="Gungsuh"/>
          <w:sz w:val="24"/>
          <w:szCs w:val="24"/>
        </w:rPr>
        <w:t xml:space="preserve">  </w:t>
      </w:r>
      <w:r>
        <w:rPr>
          <w:rStyle w:val="FontStyle16"/>
          <w:rFonts w:eastAsia="Gungsuh"/>
          <w:sz w:val="24"/>
          <w:szCs w:val="24"/>
        </w:rPr>
        <w:t>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41C3A9BB" w14:textId="38B87B69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 w:rsidR="00BD070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972455">
        <w:rPr>
          <w:rStyle w:val="FontStyle16"/>
          <w:sz w:val="24"/>
          <w:szCs w:val="24"/>
          <w:lang w:eastAsia="ru-RU"/>
        </w:rPr>
        <w:t>13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r w:rsidR="00972455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7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</w:t>
      </w:r>
      <w:r w:rsidRPr="00BD070F">
        <w:rPr>
          <w:rStyle w:val="FontStyle16"/>
          <w:rFonts w:eastAsia="Gungsuh"/>
          <w:sz w:val="24"/>
          <w:szCs w:val="24"/>
        </w:rPr>
        <w:lastRenderedPageBreak/>
        <w:t>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</w:rPr>
        <w:t>с даты проведения</w:t>
      </w:r>
      <w:proofErr w:type="gramEnd"/>
      <w:r w:rsidRPr="00497214">
        <w:rPr>
          <w:rStyle w:val="FontStyle16"/>
          <w:rFonts w:eastAsia="Gungsuh"/>
        </w:rPr>
        <w:t xml:space="preserve">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797B3B0B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A83C87" w:rsidRPr="00A83C87">
        <w:rPr>
          <w:rStyle w:val="FontStyle16"/>
          <w:rFonts w:eastAsia="Gungsuh"/>
          <w:b/>
          <w:lang w:val="ky-KG"/>
        </w:rPr>
        <w:t>1752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6588DEE6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A83C87">
        <w:rPr>
          <w:rStyle w:val="FontStyle16"/>
          <w:rFonts w:eastAsia="Gungsuh"/>
          <w:b/>
          <w:lang w:val="ky-KG"/>
        </w:rPr>
        <w:t>176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A83C87">
        <w:rPr>
          <w:rStyle w:val="FontStyle16"/>
          <w:rFonts w:eastAsia="Gungsuh"/>
          <w:b/>
          <w:lang w:val="ky-KG"/>
        </w:rPr>
        <w:t>7520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1A0B93"/>
    <w:rsid w:val="00293354"/>
    <w:rsid w:val="00294D38"/>
    <w:rsid w:val="002F61FC"/>
    <w:rsid w:val="00314778"/>
    <w:rsid w:val="00364CD9"/>
    <w:rsid w:val="00376D34"/>
    <w:rsid w:val="005412C2"/>
    <w:rsid w:val="005710D3"/>
    <w:rsid w:val="005961C2"/>
    <w:rsid w:val="005B4735"/>
    <w:rsid w:val="007C0EE3"/>
    <w:rsid w:val="009214EB"/>
    <w:rsid w:val="00972455"/>
    <w:rsid w:val="009A2C0B"/>
    <w:rsid w:val="009F37EF"/>
    <w:rsid w:val="00A22155"/>
    <w:rsid w:val="00A67E5A"/>
    <w:rsid w:val="00A83C87"/>
    <w:rsid w:val="00B2516A"/>
    <w:rsid w:val="00B62223"/>
    <w:rsid w:val="00B7309A"/>
    <w:rsid w:val="00BD070F"/>
    <w:rsid w:val="00CF7309"/>
    <w:rsid w:val="00D5708D"/>
    <w:rsid w:val="00D7411B"/>
    <w:rsid w:val="00DA47E7"/>
    <w:rsid w:val="00E51801"/>
    <w:rsid w:val="00EE0655"/>
    <w:rsid w:val="00F139F1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logy.k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E9B565-F678-4A44-BF15-6AE0A986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2025-05-13T07:12:00Z</cp:lastPrinted>
  <dcterms:created xsi:type="dcterms:W3CDTF">2016-03-17T08:16:00Z</dcterms:created>
  <dcterms:modified xsi:type="dcterms:W3CDTF">2025-05-13T07:12:00Z</dcterms:modified>
</cp:coreProperties>
</file>