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2B5" w:rsidRPr="009E36BF" w:rsidRDefault="00BF12B5" w:rsidP="009E36BF">
      <w:pPr>
        <w:spacing w:after="0" w:line="240" w:lineRule="auto"/>
        <w:ind w:left="4962" w:firstLine="84"/>
        <w:jc w:val="right"/>
        <w:rPr>
          <w:rFonts w:ascii="Times New Roman" w:hAnsi="Times New Roman"/>
          <w:bCs/>
          <w:sz w:val="26"/>
          <w:szCs w:val="26"/>
        </w:rPr>
      </w:pPr>
      <w:r w:rsidRPr="009E36BF">
        <w:rPr>
          <w:rFonts w:ascii="Times New Roman" w:hAnsi="Times New Roman"/>
          <w:bCs/>
          <w:sz w:val="26"/>
          <w:szCs w:val="26"/>
        </w:rPr>
        <w:t>Приложение 2</w:t>
      </w:r>
    </w:p>
    <w:p w:rsidR="00BF12B5" w:rsidRDefault="00BF12B5" w:rsidP="009E36BF">
      <w:pPr>
        <w:tabs>
          <w:tab w:val="left" w:pos="5103"/>
        </w:tabs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«Утверждено»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Приказом Министерства энергетики и промышленности</w:t>
      </w:r>
    </w:p>
    <w:p w:rsidR="00BF12B5" w:rsidRDefault="00BF12B5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Кыргызской Республики</w:t>
      </w:r>
    </w:p>
    <w:p w:rsidR="00BF12B5" w:rsidRDefault="00D36DF7" w:rsidP="009E36BF">
      <w:pPr>
        <w:spacing w:after="0" w:line="240" w:lineRule="auto"/>
        <w:ind w:left="4962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№ ____ от «___» сентября</w:t>
      </w:r>
      <w:r w:rsidR="00BF12B5">
        <w:rPr>
          <w:rFonts w:ascii="Times New Roman" w:hAnsi="Times New Roman"/>
          <w:b/>
          <w:sz w:val="26"/>
          <w:szCs w:val="26"/>
        </w:rPr>
        <w:t xml:space="preserve"> 2021 года</w:t>
      </w: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jc w:val="center"/>
        <w:rPr>
          <w:rFonts w:ascii="Times New Roman" w:hAnsi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Pr="00906E7A" w:rsidRDefault="00BF12B5" w:rsidP="00BF12B5">
      <w:pPr>
        <w:spacing w:after="0" w:line="240" w:lineRule="auto"/>
        <w:ind w:left="700"/>
        <w:jc w:val="center"/>
        <w:rPr>
          <w:rFonts w:ascii="Times New Roman" w:eastAsia="Georgia" w:hAnsi="Times New Roman" w:cs="Times New Roman"/>
          <w:b/>
          <w:color w:val="000000"/>
          <w:sz w:val="26"/>
          <w:szCs w:val="26"/>
          <w:u w:val="single"/>
        </w:rPr>
      </w:pPr>
      <w:r w:rsidRPr="00906E7A">
        <w:rPr>
          <w:rFonts w:ascii="Times New Roman" w:eastAsia="Calibri" w:hAnsi="Times New Roman" w:cs="Times New Roman"/>
          <w:b/>
          <w:sz w:val="26"/>
          <w:szCs w:val="26"/>
        </w:rPr>
        <w:t xml:space="preserve">Условия аукциона по предоставлению права пользования недрами с целью проведения геологоразведочных работ на участке кварца 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«</w:t>
      </w:r>
      <w:r w:rsidR="00407744">
        <w:rPr>
          <w:rFonts w:ascii="Times New Roman" w:hAnsi="Times New Roman" w:cs="Times New Roman"/>
          <w:b/>
          <w:sz w:val="26"/>
          <w:szCs w:val="26"/>
        </w:rPr>
        <w:t>Камыр-Олду 1</w:t>
      </w:r>
      <w:r w:rsidR="009E36BF" w:rsidRPr="00906E7A">
        <w:rPr>
          <w:rFonts w:ascii="Times New Roman" w:hAnsi="Times New Roman" w:cs="Times New Roman"/>
          <w:b/>
          <w:sz w:val="26"/>
          <w:szCs w:val="26"/>
        </w:rPr>
        <w:t>»</w:t>
      </w:r>
    </w:p>
    <w:p w:rsidR="00BF12B5" w:rsidRDefault="00BF12B5" w:rsidP="00BF12B5">
      <w:pPr>
        <w:pStyle w:val="27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F12B5" w:rsidRDefault="00BF12B5" w:rsidP="00BF12B5">
      <w:pPr>
        <w:pStyle w:val="27"/>
        <w:spacing w:before="100" w:beforeAutospacing="1" w:line="276" w:lineRule="auto"/>
        <w:ind w:firstLine="709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b/>
          <w:sz w:val="26"/>
          <w:szCs w:val="26"/>
        </w:rPr>
        <w:t>1. Организатор аукциона:</w:t>
      </w:r>
      <w:r>
        <w:rPr>
          <w:rFonts w:ascii="Times New Roman" w:eastAsiaTheme="minorHAnsi" w:hAnsi="Times New Roman" w:cs="Times New Roman"/>
          <w:sz w:val="26"/>
          <w:szCs w:val="26"/>
        </w:rPr>
        <w:t xml:space="preserve"> Государственное агентство геологии и недропользования при Министерстве энергетики и промышленности Кыргызской Республики.</w:t>
      </w: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pStyle w:val="27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Предмет аукциона и общие сведения об объекте недр.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Предмет аукциона</w:t>
      </w:r>
      <w:r>
        <w:rPr>
          <w:rFonts w:ascii="Times New Roman" w:hAnsi="Times New Roman" w:cs="Times New Roman"/>
          <w:sz w:val="26"/>
          <w:szCs w:val="26"/>
        </w:rPr>
        <w:t xml:space="preserve">: Право пользования недрами с целью проведения геологоразведочных работ </w:t>
      </w:r>
      <w:r>
        <w:rPr>
          <w:rFonts w:ascii="Times New Roman" w:eastAsia="Calibri" w:hAnsi="Times New Roman" w:cs="Times New Roman"/>
          <w:sz w:val="26"/>
          <w:szCs w:val="26"/>
        </w:rPr>
        <w:t>на участке кварца «</w:t>
      </w:r>
      <w:r w:rsidR="00407744">
        <w:rPr>
          <w:rFonts w:ascii="Times New Roman" w:eastAsia="Calibri" w:hAnsi="Times New Roman" w:cs="Times New Roman"/>
          <w:sz w:val="26"/>
          <w:szCs w:val="26"/>
        </w:rPr>
        <w:t>Камыр-Олду 1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Объект предоставления права пользования недрами, выставляется на аукцион:</w:t>
      </w:r>
      <w:r>
        <w:rPr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участок «</w:t>
      </w:r>
      <w:r w:rsidR="00407744">
        <w:rPr>
          <w:rFonts w:ascii="Times New Roman" w:eastAsia="Calibri" w:hAnsi="Times New Roman" w:cs="Times New Roman"/>
          <w:sz w:val="26"/>
          <w:szCs w:val="26"/>
        </w:rPr>
        <w:t>Камыр-Олду 1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Вид полезного ископаемого</w:t>
      </w:r>
      <w:r>
        <w:rPr>
          <w:rFonts w:ascii="Times New Roman" w:hAnsi="Times New Roman" w:cs="Times New Roman"/>
          <w:sz w:val="26"/>
          <w:szCs w:val="26"/>
        </w:rPr>
        <w:t xml:space="preserve"> - кварц. 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</w:t>
      </w:r>
      <w:r>
        <w:rPr>
          <w:rFonts w:ascii="Times New Roman" w:hAnsi="Times New Roman" w:cs="Times New Roman"/>
          <w:b/>
          <w:sz w:val="26"/>
          <w:szCs w:val="26"/>
        </w:rPr>
        <w:tab/>
        <w:t>Сведения об объекте недр: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3.1</w:t>
      </w:r>
      <w:r>
        <w:rPr>
          <w:rFonts w:ascii="Times New Roman" w:hAnsi="Times New Roman" w:cs="Times New Roman"/>
          <w:b/>
          <w:sz w:val="26"/>
          <w:szCs w:val="26"/>
        </w:rPr>
        <w:tab/>
        <w:t>Географическое расположение недр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BF12B5" w:rsidRDefault="00BF12B5" w:rsidP="00BF12B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«</w:t>
      </w:r>
      <w:r w:rsidR="00407744">
        <w:rPr>
          <w:rFonts w:ascii="Times New Roman" w:eastAsia="Calibri" w:hAnsi="Times New Roman" w:cs="Times New Roman"/>
          <w:sz w:val="26"/>
          <w:szCs w:val="26"/>
        </w:rPr>
        <w:t>Камыр-Олду 1</w:t>
      </w:r>
      <w:r>
        <w:rPr>
          <w:rFonts w:ascii="Times New Roman" w:hAnsi="Times New Roman" w:cs="Times New Roman"/>
          <w:sz w:val="26"/>
          <w:szCs w:val="26"/>
        </w:rPr>
        <w:t>» расположен в Токтогульском районе Джалал-Абадской области Кыргызской Республики.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BF12B5" w:rsidRDefault="00BF12B5" w:rsidP="00BF12B5">
      <w:pPr>
        <w:tabs>
          <w:tab w:val="num" w:pos="0"/>
        </w:tabs>
        <w:spacing w:after="0" w:line="240" w:lineRule="auto"/>
        <w:ind w:firstLine="720"/>
        <w:jc w:val="both"/>
        <w:rPr>
          <w:rFonts w:ascii="Tahoma" w:eastAsia="Gungsuh" w:hAnsi="Tahoma" w:cs="Tahoma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Абсолютные отметки площади колеблются от 2423 м.</w:t>
      </w:r>
      <w:r>
        <w:rPr>
          <w:rFonts w:ascii="Tahoma" w:eastAsia="Gungsuh" w:hAnsi="Tahoma" w:cs="Tahoma"/>
          <w:sz w:val="26"/>
          <w:szCs w:val="26"/>
        </w:rPr>
        <w:t xml:space="preserve"> 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color w:val="FF0000"/>
          <w:sz w:val="26"/>
          <w:szCs w:val="26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3.2.</w:t>
      </w:r>
      <w:r>
        <w:rPr>
          <w:rFonts w:ascii="Times New Roman" w:hAnsi="Times New Roman" w:cs="Times New Roman"/>
          <w:b/>
          <w:sz w:val="26"/>
          <w:szCs w:val="26"/>
        </w:rPr>
        <w:tab/>
        <w:t>Размеры лицензионной площади:</w:t>
      </w: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Координаты угловых точек площади: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1352"/>
        <w:gridCol w:w="1275"/>
      </w:tblGrid>
      <w:tr w:rsidR="00407744" w:rsidRPr="00407744" w:rsidTr="00407744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b/>
                <w:sz w:val="26"/>
                <w:szCs w:val="26"/>
              </w:rPr>
              <w:t>№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b/>
                <w:sz w:val="26"/>
                <w:szCs w:val="2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rPr>
                <w:b/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b/>
                <w:sz w:val="26"/>
                <w:szCs w:val="26"/>
              </w:rPr>
              <w:t>У</w:t>
            </w:r>
          </w:p>
        </w:tc>
      </w:tr>
      <w:tr w:rsidR="00407744" w:rsidRPr="00407744" w:rsidTr="00407744">
        <w:trPr>
          <w:trHeight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CordiaUPC"/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  <w:t>1</w:t>
            </w:r>
            <w:r w:rsidRPr="00407744">
              <w:rPr>
                <w:rStyle w:val="2CordiaUPC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13336174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4643198</w:t>
            </w:r>
          </w:p>
        </w:tc>
      </w:tr>
      <w:tr w:rsidR="00407744" w:rsidRPr="00407744" w:rsidTr="00407744">
        <w:trPr>
          <w:trHeight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2.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4643185</w:t>
            </w:r>
          </w:p>
        </w:tc>
      </w:tr>
      <w:tr w:rsidR="00407744" w:rsidRPr="00407744" w:rsidTr="00407744">
        <w:trPr>
          <w:trHeight w:val="27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3.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4643100</w:t>
            </w:r>
          </w:p>
        </w:tc>
      </w:tr>
      <w:tr w:rsidR="00407744" w:rsidRPr="00407744" w:rsidTr="00407744">
        <w:trPr>
          <w:trHeight w:val="27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13336210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4643046</w:t>
            </w:r>
          </w:p>
        </w:tc>
      </w:tr>
      <w:tr w:rsidR="00407744" w:rsidRPr="00407744" w:rsidTr="00407744">
        <w:trPr>
          <w:trHeight w:val="283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5.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13336153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4643141</w:t>
            </w:r>
          </w:p>
        </w:tc>
      </w:tr>
      <w:tr w:rsidR="00407744" w:rsidRPr="00407744" w:rsidTr="00407744">
        <w:trPr>
          <w:trHeight w:val="29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6.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13336103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07744" w:rsidRPr="00407744" w:rsidRDefault="00407744" w:rsidP="00407744">
            <w:pPr>
              <w:pStyle w:val="25"/>
              <w:shd w:val="clear" w:color="auto" w:fill="auto"/>
              <w:spacing w:before="0" w:line="240" w:lineRule="auto"/>
              <w:jc w:val="left"/>
              <w:rPr>
                <w:sz w:val="26"/>
                <w:szCs w:val="26"/>
              </w:rPr>
            </w:pPr>
            <w:r w:rsidRPr="00407744">
              <w:rPr>
                <w:rStyle w:val="2TimesNewRoman"/>
                <w:rFonts w:eastAsia="Arial Narrow"/>
                <w:sz w:val="26"/>
                <w:szCs w:val="26"/>
              </w:rPr>
              <w:t>4643146</w:t>
            </w:r>
          </w:p>
        </w:tc>
      </w:tr>
    </w:tbl>
    <w:p w:rsidR="009221FE" w:rsidRDefault="009221FE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Площадь составляет </w:t>
      </w:r>
      <w:r w:rsidR="00407744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,</w:t>
      </w:r>
      <w:r w:rsidR="00407744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га.</w:t>
      </w: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BF12B5" w:rsidRDefault="00BF12B5" w:rsidP="00BF12B5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ab/>
        <w:t>Геологическая характеристика площади.</w:t>
      </w:r>
    </w:p>
    <w:p w:rsidR="00BF12B5" w:rsidRDefault="00BF12B5" w:rsidP="00BF12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Проявление расположено на левом борту правого притока р. Чичкан. Здесь, среди каледонских профировидных гранитов «второй фазы», залегает секущая кварц-полевошпатовая пегматитовая жила мощностью до 5-6 метров и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протяженностью 19 метров. Жила дифференцирована и имеет сложное строение – ее кварцевые и полевошпатовое вещество обослаблены и залегают в виде параллельных линзообразных тел или блоков. </w:t>
      </w:r>
    </w:p>
    <w:p w:rsidR="00BF12B5" w:rsidRDefault="00BF12B5" w:rsidP="00BF12B5">
      <w:pPr>
        <w:tabs>
          <w:tab w:val="left" w:pos="518"/>
          <w:tab w:val="left" w:pos="16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Участок не изучен, требуются разведка.</w:t>
      </w: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</w:p>
    <w:p w:rsidR="00BF12B5" w:rsidRDefault="00BF12B5" w:rsidP="00BF12B5">
      <w:pPr>
        <w:pStyle w:val="1110"/>
        <w:rPr>
          <w:rStyle w:val="FontStyle16"/>
          <w:b/>
          <w:sz w:val="26"/>
          <w:szCs w:val="26"/>
        </w:rPr>
      </w:pPr>
      <w:r>
        <w:rPr>
          <w:rStyle w:val="FontStyle16"/>
          <w:b/>
          <w:sz w:val="26"/>
          <w:szCs w:val="26"/>
        </w:rPr>
        <w:t>4.</w:t>
      </w:r>
      <w:r>
        <w:rPr>
          <w:rStyle w:val="FontStyle16"/>
          <w:b/>
          <w:sz w:val="26"/>
          <w:szCs w:val="26"/>
        </w:rPr>
        <w:tab/>
        <w:t>Основные требования к пользованию объектом недр</w:t>
      </w:r>
    </w:p>
    <w:p w:rsidR="00BF12B5" w:rsidRDefault="00BF12B5" w:rsidP="00BF12B5">
      <w:pPr>
        <w:pStyle w:val="1110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4.1.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Основные требования к пользованию объектом недропользования подлежат включению в лицензионное соглашение как неотъемлемой части лицензии. Детальные требования конкретизируются при оформлении лицензии и лицензионного соглашения.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4.2.</w:t>
      </w:r>
      <w:r>
        <w:rPr>
          <w:rStyle w:val="FontStyle16"/>
          <w:rFonts w:eastAsia="Gungsuh"/>
          <w:color w:val="000000" w:themeColor="text1"/>
          <w:sz w:val="26"/>
          <w:szCs w:val="26"/>
        </w:rPr>
        <w:tab/>
        <w:t>Основными требованиями к пользованию лицензионной площадью являются: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заключение лицензионного соглашения на составление технического проекта, направленного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технического проекта, в течение оговоренного в лицензионном соглашении срока, направленных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 недр, прошедшего экспертизу в части промышленной, экологической безопасности и охраны недр, а также разрешение на проведение геолого</w:t>
      </w:r>
      <w:r>
        <w:rPr>
          <w:rStyle w:val="FontStyle16"/>
          <w:rFonts w:eastAsia="Gungsuh"/>
          <w:sz w:val="26"/>
          <w:szCs w:val="26"/>
          <w:lang w:val="ky-KG"/>
        </w:rPr>
        <w:t xml:space="preserve">разведочных </w:t>
      </w:r>
      <w:r>
        <w:rPr>
          <w:rStyle w:val="FontStyle16"/>
          <w:rFonts w:eastAsia="Gungsuh"/>
          <w:sz w:val="26"/>
          <w:szCs w:val="26"/>
        </w:rPr>
        <w:t>работ;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предоставление годового отчета до 31 января следующего за отчетным годом по установленной форме в бумажном и электронном виде;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выполнение всех необходимых видов геологических работ в строгом соответствии с проектом, прошедшим экспертизу по промышленной, экологической безопасности и охране недр;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разработка Плана мероприятий по обеспечению требований промышленной безопасности на объектах работ, в том числе по предупреждению аварий и локализации их последствий с необходимыми обоснованиями и расчетами, как на самом объекте, так и в результате аварий на других объектах в районе размещения объекта. При разработке данных мероприятий необходимо учитывать источники опасности (селевые потоки, лавинно опасность и пр.), факторы риска, условия возникновения аварий и их сценарии, численность и размещение производственного персонала;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</w:t>
      </w:r>
      <w:r>
        <w:rPr>
          <w:rStyle w:val="FontStyle16"/>
          <w:rFonts w:eastAsia="Gungsuh"/>
          <w:sz w:val="26"/>
          <w:szCs w:val="26"/>
        </w:rPr>
        <w:tab/>
        <w:t>техническая и биологическая рекультивация нарушенных земель согласно проектным решениям, прошедшим экспертизу по промышленной и экологической безопасности.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невыполнения победителем аукциона в дальнейшем основных требований к пользованию объектом недр, к нему будут применены штрафные санкции в размере 0,1 процента в день от оплаченной недропользователем стоимости объекта недр за каждый день просрочки исполнения принятых обязательств или санкции, установленные Положением о порядке и условиях проведения аукциона на право пользования недрами.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5.</w:t>
      </w:r>
      <w:r>
        <w:rPr>
          <w:rStyle w:val="FontStyle16"/>
          <w:rFonts w:eastAsia="Gungsuh"/>
          <w:b/>
          <w:sz w:val="26"/>
          <w:szCs w:val="26"/>
        </w:rPr>
        <w:tab/>
        <w:t>Время и место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Аукцион состоится </w:t>
      </w:r>
      <w:r w:rsidR="00D36DF7">
        <w:rPr>
          <w:rStyle w:val="FontStyle16"/>
          <w:rFonts w:eastAsia="Gungsuh"/>
          <w:sz w:val="26"/>
          <w:szCs w:val="26"/>
        </w:rPr>
        <w:t>27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</w:t>
      </w:r>
      <w:r>
        <w:rPr>
          <w:rStyle w:val="FontStyle16"/>
          <w:rFonts w:eastAsia="Gungsuh"/>
          <w:sz w:val="26"/>
          <w:szCs w:val="26"/>
        </w:rPr>
        <w:t xml:space="preserve">бря 2021 года в </w:t>
      </w:r>
      <w:r>
        <w:rPr>
          <w:rStyle w:val="FontStyle16"/>
          <w:rFonts w:eastAsia="Gungsuh"/>
          <w:sz w:val="26"/>
          <w:szCs w:val="26"/>
          <w:lang w:val="ky-KG"/>
        </w:rPr>
        <w:t>городе Токтогул</w:t>
      </w:r>
      <w:r>
        <w:rPr>
          <w:rStyle w:val="FontStyle16"/>
          <w:rFonts w:eastAsia="Gungsuh"/>
          <w:sz w:val="26"/>
          <w:szCs w:val="26"/>
        </w:rPr>
        <w:t xml:space="preserve"> в здании районной государственной администрации Токтогульского района Джалал-Абадской области Кыргызской Республики.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>Регистрация участников аукциона: с 11-00 часов до 11-50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Начало аукциона: в 12-00 часов. 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6.</w:t>
      </w:r>
      <w:r>
        <w:rPr>
          <w:rStyle w:val="FontStyle16"/>
          <w:rFonts w:eastAsia="Gungsuh"/>
          <w:b/>
          <w:sz w:val="26"/>
          <w:szCs w:val="26"/>
        </w:rPr>
        <w:tab/>
        <w:t>Срок подачи заявок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Заявки принимаются с </w:t>
      </w:r>
      <w:r w:rsidR="00D36DF7">
        <w:rPr>
          <w:rStyle w:val="FontStyle16"/>
          <w:rFonts w:eastAsia="Gungsuh"/>
          <w:sz w:val="26"/>
          <w:szCs w:val="26"/>
          <w:lang w:val="ky-KG"/>
        </w:rPr>
        <w:t>07</w:t>
      </w:r>
      <w:r>
        <w:rPr>
          <w:rStyle w:val="FontStyle16"/>
          <w:rFonts w:eastAsia="Gungsuh"/>
          <w:sz w:val="26"/>
          <w:szCs w:val="26"/>
          <w:lang w:val="ky-KG"/>
        </w:rPr>
        <w:t xml:space="preserve"> </w:t>
      </w:r>
      <w:r w:rsidR="00D36DF7">
        <w:rPr>
          <w:rStyle w:val="FontStyle16"/>
          <w:rFonts w:eastAsia="Gungsuh"/>
          <w:sz w:val="26"/>
          <w:szCs w:val="26"/>
          <w:lang w:val="ky-KG"/>
        </w:rPr>
        <w:t>сентября</w:t>
      </w:r>
      <w:r>
        <w:rPr>
          <w:rStyle w:val="FontStyle16"/>
          <w:rFonts w:eastAsia="Gungsuh"/>
          <w:sz w:val="26"/>
          <w:szCs w:val="26"/>
        </w:rPr>
        <w:t xml:space="preserve"> 2021 года по </w:t>
      </w:r>
      <w:r w:rsidR="00D36DF7">
        <w:rPr>
          <w:rStyle w:val="FontStyle16"/>
          <w:rFonts w:eastAsia="Gungsuh"/>
          <w:sz w:val="26"/>
          <w:szCs w:val="26"/>
        </w:rPr>
        <w:t>21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 ежедневно в рабочие дни с 9-00 часов до 18-00 часов Управлением лицензирования недропользования Государственного агентства геологии и недропользования при Министерстве энергетики и промышленности</w:t>
      </w:r>
      <w:r>
        <w:rPr>
          <w:rStyle w:val="FontStyle16"/>
          <w:rFonts w:eastAsia="Gungsuh"/>
          <w:color w:val="FF0000"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>Кыргызской Республики, в каб. № 220.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7.</w:t>
      </w:r>
      <w:r>
        <w:rPr>
          <w:rStyle w:val="FontStyle16"/>
          <w:rFonts w:eastAsia="Gungsuh"/>
          <w:b/>
          <w:sz w:val="26"/>
          <w:szCs w:val="26"/>
        </w:rPr>
        <w:tab/>
        <w:t>Место и время ознакомления с порядком и условиями проведения аукциона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Ознакомление с порядком и условиями проведения аукциона проводится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sz w:val="26"/>
          <w:szCs w:val="26"/>
        </w:rPr>
        <w:t xml:space="preserve">Управлением геологии </w:t>
      </w:r>
      <w:r>
        <w:rPr>
          <w:rFonts w:ascii="Times New Roman" w:eastAsiaTheme="minorHAnsi" w:hAnsi="Times New Roman" w:cs="Times New Roman"/>
          <w:sz w:val="26"/>
          <w:szCs w:val="26"/>
        </w:rPr>
        <w:t>Государственного агентства геологии и недропользования при Министерстве энергетики и промышленности Кыргызской Республики</w:t>
      </w:r>
      <w:r>
        <w:rPr>
          <w:rStyle w:val="FontStyle16"/>
          <w:rFonts w:eastAsia="Gungsuh"/>
          <w:sz w:val="26"/>
          <w:szCs w:val="26"/>
        </w:rPr>
        <w:t xml:space="preserve"> в каб. № 210, ежедневно с 9-00 до 18-00 часов.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8.</w:t>
      </w:r>
      <w:r>
        <w:rPr>
          <w:rStyle w:val="FontStyle16"/>
          <w:rFonts w:eastAsia="Gungsuh"/>
          <w:b/>
          <w:sz w:val="26"/>
          <w:szCs w:val="26"/>
        </w:rPr>
        <w:tab/>
        <w:t>Подача заявки</w:t>
      </w:r>
    </w:p>
    <w:p w:rsidR="00BF12B5" w:rsidRDefault="00BF12B5" w:rsidP="00BF12B5">
      <w:pPr>
        <w:pStyle w:val="1"/>
        <w:tabs>
          <w:tab w:val="left" w:pos="1134"/>
        </w:tabs>
        <w:ind w:firstLine="709"/>
        <w:jc w:val="both"/>
        <w:rPr>
          <w:rStyle w:val="FontStyle16"/>
          <w:rFonts w:eastAsia="Gungsuh"/>
          <w:b/>
          <w:sz w:val="26"/>
          <w:szCs w:val="26"/>
        </w:rPr>
      </w:pP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Для участия в аукционе заявитель лично или через доверенное лицо представляет организатору аукциона заявку до 18-00 часов </w:t>
      </w:r>
      <w:r w:rsidR="00D36DF7">
        <w:rPr>
          <w:rStyle w:val="FontStyle16"/>
          <w:rFonts w:eastAsia="Gungsuh"/>
          <w:sz w:val="26"/>
          <w:szCs w:val="26"/>
        </w:rPr>
        <w:t>21</w:t>
      </w:r>
      <w:r>
        <w:rPr>
          <w:rStyle w:val="FontStyle16"/>
          <w:rFonts w:eastAsia="Gungsuh"/>
          <w:sz w:val="26"/>
          <w:szCs w:val="26"/>
          <w:lang w:val="ky-KG"/>
        </w:rPr>
        <w:t xml:space="preserve"> октября</w:t>
      </w:r>
      <w:r>
        <w:rPr>
          <w:rStyle w:val="FontStyle16"/>
          <w:rFonts w:eastAsia="Gungsuh"/>
          <w:sz w:val="26"/>
          <w:szCs w:val="26"/>
        </w:rPr>
        <w:t xml:space="preserve"> 2021 года включительно, в двух экземплярах по форме, установленной организатором аукциона и размещенной на официальном сайте организатора аукциона: www.</w:t>
      </w:r>
      <w:r>
        <w:rPr>
          <w:rStyle w:val="FontStyle16"/>
          <w:rFonts w:eastAsia="Gungsuh"/>
          <w:sz w:val="26"/>
          <w:szCs w:val="26"/>
          <w:lang w:val="en-US"/>
        </w:rPr>
        <w:t>geology</w:t>
      </w:r>
      <w:r>
        <w:rPr>
          <w:rStyle w:val="FontStyle16"/>
          <w:rFonts w:eastAsia="Gungsuh"/>
          <w:sz w:val="26"/>
          <w:szCs w:val="26"/>
        </w:rPr>
        <w:t>.kg.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Подача заявки по почте не допускается.</w:t>
      </w:r>
    </w:p>
    <w:p w:rsidR="00BF12B5" w:rsidRDefault="00BF12B5" w:rsidP="00BF12B5">
      <w:pPr>
        <w:pStyle w:val="1"/>
        <w:spacing w:line="276" w:lineRule="auto"/>
        <w:ind w:firstLine="709"/>
        <w:jc w:val="both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Заявка на участие в аукционе на право пользования объектами недр должна быть заполнена машинным способом на государственном и/или официальном языках, распечатана посредством электронных печатающих устройств.</w:t>
      </w:r>
    </w:p>
    <w:p w:rsidR="00BF12B5" w:rsidRDefault="00BF12B5" w:rsidP="00BF12B5">
      <w:pPr>
        <w:spacing w:after="0"/>
        <w:ind w:firstLine="567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аукционной заявке прилагаются следующие документы: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копии учредительных документов и свидетельства о государственной регистрации юридического лица;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свидетельства о государственной регистрации индивидуального предпринимателя;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документа о назначении исполнительного органа организации;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доверенность на представителя, оформленная в соответствии с требованиями законодательства Кыргызской Республики, если лицо будет действовать через своего представителя;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гарантийного взноса;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документ, подтверждающий оплату сбора за участие в аукционе;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(сведения) о бенефициарах в соответствии с Положением о порядке лицензирования недропользования.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Иностранное юридическое лицо дополнительно представляет легализованную или апостилированную в установленном порядке выписку из государственного реестра или иной документ, удостоверяющий, что оно является действующим юридическим лицом по законодательству своей страны.</w:t>
      </w:r>
    </w:p>
    <w:p w:rsidR="00BF12B5" w:rsidRDefault="00BF12B5" w:rsidP="00BF12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Компании, зарегистрированные в Кыргызской Республике, включая филиалы иностранных компаний, зарегистрированных в Кыргызской Республике, дополнительно представляют справку налоговой службы об отсутствии налоговой задолженности.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Подача аукционной заявки рассматривается как согласие заявителя со всеми условиями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копии документов, представляемые заявителем, должны быть заверены печатью заявителя.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документы, прилагаемые к аукционной заявке, сдаются организатору аукциона вместе с аукционной заявкой. Один экземпляр аукционной заявки с пометкой о принятии вручается заявителю.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Заявитель вправе отозвать свою аукционную заявку до истечения установленного срока подачи заявок.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Уведомление об отзыве аукционной заявки является основанием для незамедлительного возвращения заявителю поданной аукционной заявки.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Отзыв аукционной заявки не является препятствием для подачи новой аукционной заявки при условии соблюдения сроков его подачи.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Регистрация аукционных заявок осуществляется уполномоченным должностным лицом организатора аукциона (далее - должностное лицо организатора аукциона) в течение всего срока подачи аукционных заявок, указанного в объявлении о проведении аукциона.</w:t>
      </w:r>
    </w:p>
    <w:p w:rsidR="00BF12B5" w:rsidRDefault="00BF12B5" w:rsidP="00BF12B5">
      <w:pPr>
        <w:pStyle w:val="tkTekst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Аукционные заявки, поступившие после даты окончания подачи аукционных заявок, не регистрируются и возвращаются заявителю по почте или с вручением ему должностным лицом организатора аукциона, под подпись, с соответствующей отметкой об этом в журнале регистрации заявок на участие в аукционе.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>Заявочные материалы, поступившие после даты окончания подачи заявок, не регистрируются и возвращаются заявителю.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sz w:val="26"/>
          <w:szCs w:val="26"/>
        </w:rPr>
      </w:pPr>
      <w:r>
        <w:rPr>
          <w:rStyle w:val="FontStyle16"/>
          <w:sz w:val="26"/>
          <w:szCs w:val="26"/>
        </w:rPr>
        <w:t xml:space="preserve">Победитель аукциона при оформлении лицензии и лицензионного соглашения при желании может передать </w:t>
      </w:r>
      <w:r>
        <w:rPr>
          <w:sz w:val="26"/>
          <w:szCs w:val="26"/>
        </w:rPr>
        <w:t>Кыргызской Республике долю участия в уставном капитале.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9.</w:t>
      </w:r>
      <w:r>
        <w:rPr>
          <w:rStyle w:val="FontStyle16"/>
          <w:rFonts w:eastAsia="Gungsuh"/>
          <w:b/>
          <w:sz w:val="26"/>
          <w:szCs w:val="26"/>
        </w:rPr>
        <w:tab/>
        <w:t>Сбор за участие в аукционе и гарантийный взнос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устанавливается в размере</w:t>
      </w:r>
      <w:r>
        <w:rPr>
          <w:rStyle w:val="FontStyle16"/>
          <w:rFonts w:eastAsia="Gungsuh"/>
          <w:b/>
          <w:sz w:val="26"/>
          <w:szCs w:val="26"/>
        </w:rPr>
        <w:t xml:space="preserve"> 10 000 сомов</w:t>
      </w:r>
      <w:r>
        <w:rPr>
          <w:rStyle w:val="FontStyle16"/>
          <w:rFonts w:eastAsia="Gungsuh"/>
          <w:sz w:val="26"/>
          <w:szCs w:val="26"/>
        </w:rPr>
        <w:t>, а гарантийный взнос -</w:t>
      </w:r>
      <w:r>
        <w:rPr>
          <w:rStyle w:val="FontStyle16"/>
          <w:rFonts w:eastAsia="Gungsuh"/>
          <w:b/>
          <w:sz w:val="26"/>
          <w:szCs w:val="26"/>
        </w:rPr>
        <w:t xml:space="preserve"> </w:t>
      </w:r>
      <w:r>
        <w:rPr>
          <w:rStyle w:val="FontStyle16"/>
          <w:rFonts w:eastAsia="Gungsuh"/>
          <w:b/>
          <w:sz w:val="26"/>
          <w:szCs w:val="26"/>
          <w:lang w:val="ky-KG"/>
        </w:rPr>
        <w:t>1000</w:t>
      </w:r>
      <w:r>
        <w:rPr>
          <w:rStyle w:val="FontStyle16"/>
          <w:rFonts w:eastAsia="Gungsuh"/>
          <w:b/>
          <w:sz w:val="26"/>
          <w:szCs w:val="26"/>
        </w:rPr>
        <w:t xml:space="preserve"> долларов США.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и гарантийный взнос вносится заявителем на специальный счет организатора аукциона по следующим реквизитам: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sz w:val="26"/>
          <w:szCs w:val="26"/>
        </w:rPr>
        <w:t xml:space="preserve">Получатель: </w:t>
      </w:r>
      <w:r>
        <w:rPr>
          <w:rFonts w:ascii="Times New Roman" w:hAnsi="Times New Roman" w:cs="Times New Roman"/>
          <w:sz w:val="26"/>
          <w:szCs w:val="26"/>
        </w:rPr>
        <w:t>ГАГН при МЭП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Банк: </w:t>
      </w:r>
      <w:r>
        <w:rPr>
          <w:rFonts w:ascii="Times New Roman" w:hAnsi="Times New Roman" w:cs="Times New Roman"/>
          <w:sz w:val="26"/>
          <w:szCs w:val="26"/>
        </w:rPr>
        <w:t>Центральное казначейство МФ КР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БИК: </w:t>
      </w:r>
      <w:r>
        <w:rPr>
          <w:rFonts w:ascii="Times New Roman" w:hAnsi="Times New Roman" w:cs="Times New Roman"/>
          <w:sz w:val="26"/>
          <w:szCs w:val="26"/>
        </w:rPr>
        <w:t>440001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Расчетный счет: </w:t>
      </w:r>
      <w:r>
        <w:rPr>
          <w:rFonts w:ascii="Times New Roman" w:hAnsi="Times New Roman" w:cs="Times New Roman"/>
          <w:sz w:val="26"/>
          <w:szCs w:val="26"/>
        </w:rPr>
        <w:t>4402031103010257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Код платежа: </w:t>
      </w:r>
      <w:r>
        <w:rPr>
          <w:rFonts w:ascii="Times New Roman" w:hAnsi="Times New Roman" w:cs="Times New Roman"/>
          <w:sz w:val="26"/>
          <w:szCs w:val="26"/>
        </w:rPr>
        <w:t>14511900 «Прочие неналоговые доходы»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гарантийный взнос за участие в аукционе_______________________»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или</w:t>
      </w:r>
    </w:p>
    <w:p w:rsidR="00BF12B5" w:rsidRDefault="00BF12B5" w:rsidP="00BF12B5">
      <w:pPr>
        <w:tabs>
          <w:tab w:val="left" w:pos="121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«сбор за участие в аукционе___________________________________»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i/>
          <w:sz w:val="26"/>
          <w:szCs w:val="26"/>
        </w:rPr>
      </w:pPr>
      <w:r>
        <w:rPr>
          <w:rStyle w:val="FontStyle16"/>
          <w:rFonts w:eastAsia="Gungsuh"/>
          <w:i/>
          <w:sz w:val="26"/>
          <w:szCs w:val="26"/>
        </w:rPr>
        <w:t>*Гарантийный взнос вносится заявителем в национальной валюте, по курсу НБКР на день внесения или перечисления гарантийного взноса на специальный счет организатора аукциона.</w:t>
      </w:r>
    </w:p>
    <w:p w:rsidR="00BF12B5" w:rsidRDefault="00BF12B5" w:rsidP="00BF12B5">
      <w:pPr>
        <w:pStyle w:val="Style2"/>
        <w:widowControl/>
        <w:spacing w:line="276" w:lineRule="auto"/>
        <w:ind w:firstLine="540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Сбор за участие в аукционе возврату не подлежит, за исключением случаев отмены аукциона, либо когда заявитель отзовет свою заявку до начала аукциона, либо не будет допущен к участию на аукционе. В случае возврата сбора, он подлежит выплате заявителю в течение 30 банковских дней.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Вносимый для участия в аукционе гарантийный взнос подлежит возврату всем заявителям и участникам аукциона, не ставшим победителями аукциона, за исключением случаев, предусмотренных пунктом 74 Положения о порядке и условиях проведения аукциона на право пользования недрами.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sz w:val="26"/>
          <w:szCs w:val="26"/>
        </w:rPr>
        <w:t>Возврат гарантийного взноса осуществляется в течение 30 банковских дней с момента подписания протокола заседания аукционной комиссии об итогах аукциона либо о признании аукциона несостоявшимся. В случае отмены аукциона возврат гарантийного взноса производится в течение 30 банковских дней с момента принятия соответствующего решения об отмене проведения аукциона.</w:t>
      </w:r>
    </w:p>
    <w:p w:rsidR="00BF12B5" w:rsidRDefault="00BF12B5" w:rsidP="00BF12B5">
      <w:pPr>
        <w:pStyle w:val="Style2"/>
        <w:widowControl/>
        <w:spacing w:line="276" w:lineRule="auto"/>
        <w:ind w:firstLine="709"/>
      </w:pPr>
      <w:r>
        <w:rPr>
          <w:sz w:val="26"/>
          <w:szCs w:val="26"/>
        </w:rPr>
        <w:t>В случае отмены аукциона ранее поданные заявки и внесенные гарантийные взносы подлежат возврату заявителям.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В случае отказа всех участников от права пользования объектом недр организатор аукциона выносит решение об аннулировании результатов аукциона и проведении повторного аукциона.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При этом отказавшимся участникам гарантийный взнос не возвращается в случаях: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участвовать в аукционе, после регистрации участников;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подписать протокол итогов аукциона;</w:t>
      </w:r>
    </w:p>
    <w:p w:rsidR="00BF12B5" w:rsidRDefault="00BF12B5" w:rsidP="00BF12B5">
      <w:pPr>
        <w:pStyle w:val="Style2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оплатить заявленную сумму;</w:t>
      </w:r>
    </w:p>
    <w:p w:rsidR="00BF12B5" w:rsidRDefault="00BF12B5" w:rsidP="00BF12B5">
      <w:pPr>
        <w:pStyle w:val="Style2"/>
        <w:widowControl/>
        <w:spacing w:line="276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>- отказа получить лицензию или неполучение лицензии в течение 20 дней с даты проведения аукциона.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10.</w:t>
      </w:r>
      <w:r>
        <w:rPr>
          <w:rStyle w:val="FontStyle16"/>
          <w:rFonts w:eastAsia="Gungsuh"/>
          <w:b/>
          <w:sz w:val="26"/>
          <w:szCs w:val="26"/>
        </w:rPr>
        <w:tab/>
        <w:t>Стартовая цена объекта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t xml:space="preserve">Стартовая цена объекта аукциона составляет </w:t>
      </w:r>
      <w:r w:rsidR="00D36DF7" w:rsidRPr="00D36DF7">
        <w:rPr>
          <w:rStyle w:val="FontStyle16"/>
          <w:rFonts w:eastAsia="Gungsuh"/>
          <w:b/>
          <w:sz w:val="26"/>
          <w:szCs w:val="26"/>
        </w:rPr>
        <w:t>402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sz w:val="26"/>
          <w:szCs w:val="26"/>
        </w:rPr>
      </w:pPr>
      <w:r>
        <w:rPr>
          <w:rStyle w:val="FontStyle16"/>
          <w:rFonts w:eastAsia="Gungsuh"/>
          <w:b/>
          <w:sz w:val="26"/>
          <w:szCs w:val="26"/>
        </w:rPr>
        <w:t>11.</w:t>
      </w:r>
      <w:r>
        <w:rPr>
          <w:rStyle w:val="FontStyle16"/>
          <w:rFonts w:eastAsia="Gungsuh"/>
          <w:b/>
          <w:sz w:val="26"/>
          <w:szCs w:val="26"/>
        </w:rPr>
        <w:tab/>
        <w:t>Шаг аукциона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  <w:r>
        <w:rPr>
          <w:rStyle w:val="FontStyle16"/>
          <w:rFonts w:eastAsia="Gungsuh"/>
          <w:sz w:val="26"/>
          <w:szCs w:val="26"/>
        </w:rPr>
        <w:lastRenderedPageBreak/>
        <w:t xml:space="preserve">Шаг аукциона устанавливается в размере </w:t>
      </w:r>
      <w:bookmarkStart w:id="0" w:name="_GoBack"/>
      <w:r w:rsidR="00D36DF7" w:rsidRPr="001A71A2">
        <w:rPr>
          <w:rStyle w:val="FontStyle16"/>
          <w:rFonts w:eastAsia="Gungsuh"/>
          <w:b/>
          <w:sz w:val="26"/>
          <w:szCs w:val="26"/>
        </w:rPr>
        <w:t>40</w:t>
      </w:r>
      <w:bookmarkEnd w:id="0"/>
      <w:r>
        <w:rPr>
          <w:rStyle w:val="FontStyle16"/>
          <w:rFonts w:eastAsia="Gungsuh"/>
          <w:b/>
          <w:sz w:val="26"/>
          <w:szCs w:val="26"/>
        </w:rPr>
        <w:t xml:space="preserve"> долларов США</w:t>
      </w:r>
      <w:r>
        <w:rPr>
          <w:rStyle w:val="FontStyle16"/>
          <w:rFonts w:eastAsia="Gungsuh"/>
          <w:sz w:val="26"/>
          <w:szCs w:val="26"/>
        </w:rPr>
        <w:t>, максимальный шаг –</w:t>
      </w:r>
      <w:r w:rsidR="00D36DF7">
        <w:rPr>
          <w:rStyle w:val="FontStyle16"/>
          <w:rFonts w:eastAsia="Gungsuh"/>
          <w:sz w:val="26"/>
          <w:szCs w:val="26"/>
        </w:rPr>
        <w:t xml:space="preserve"> </w:t>
      </w:r>
      <w:r w:rsidR="00D36DF7" w:rsidRPr="00D36DF7">
        <w:rPr>
          <w:rStyle w:val="FontStyle16"/>
          <w:rFonts w:eastAsia="Gungsuh"/>
          <w:b/>
          <w:sz w:val="26"/>
          <w:szCs w:val="26"/>
        </w:rPr>
        <w:t>4020</w:t>
      </w:r>
      <w:r>
        <w:rPr>
          <w:b/>
          <w:sz w:val="26"/>
          <w:szCs w:val="26"/>
          <w:lang w:val="ky-KG" w:eastAsia="en-US"/>
        </w:rPr>
        <w:t xml:space="preserve"> </w:t>
      </w:r>
      <w:r>
        <w:rPr>
          <w:rStyle w:val="FontStyle16"/>
          <w:rFonts w:eastAsia="Gungsuh"/>
          <w:b/>
          <w:sz w:val="26"/>
          <w:szCs w:val="26"/>
        </w:rPr>
        <w:t>долларов США</w:t>
      </w:r>
      <w:r>
        <w:rPr>
          <w:rStyle w:val="FontStyle16"/>
          <w:rFonts w:eastAsia="Gungsuh"/>
          <w:sz w:val="26"/>
          <w:szCs w:val="26"/>
        </w:rPr>
        <w:t>.</w:t>
      </w:r>
    </w:p>
    <w:p w:rsidR="00BF12B5" w:rsidRDefault="00BF12B5" w:rsidP="00BF12B5">
      <w:pPr>
        <w:pStyle w:val="Style2"/>
        <w:widowControl/>
        <w:spacing w:line="240" w:lineRule="auto"/>
        <w:ind w:firstLine="709"/>
        <w:rPr>
          <w:rStyle w:val="FontStyle16"/>
          <w:rFonts w:eastAsia="Gungsuh"/>
          <w:sz w:val="26"/>
          <w:szCs w:val="26"/>
        </w:rPr>
      </w:pP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b/>
          <w:color w:val="000000" w:themeColor="text1"/>
          <w:sz w:val="26"/>
          <w:szCs w:val="26"/>
        </w:rPr>
      </w:pPr>
      <w:r>
        <w:rPr>
          <w:rStyle w:val="FontStyle16"/>
          <w:rFonts w:eastAsia="Gungsuh"/>
          <w:b/>
          <w:color w:val="000000" w:themeColor="text1"/>
          <w:sz w:val="26"/>
          <w:szCs w:val="26"/>
        </w:rPr>
        <w:t>12.</w:t>
      </w:r>
      <w:r>
        <w:rPr>
          <w:rStyle w:val="FontStyle16"/>
          <w:rFonts w:eastAsia="Gungsuh"/>
          <w:b/>
          <w:color w:val="000000" w:themeColor="text1"/>
          <w:sz w:val="26"/>
          <w:szCs w:val="26"/>
        </w:rPr>
        <w:tab/>
        <w:t>Победитель аукциона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Style w:val="FontStyle16"/>
          <w:rFonts w:eastAsia="Gungsuh"/>
          <w:color w:val="000000" w:themeColor="text1"/>
          <w:sz w:val="26"/>
          <w:szCs w:val="26"/>
        </w:rPr>
      </w:pPr>
      <w:r>
        <w:rPr>
          <w:rStyle w:val="FontStyle16"/>
          <w:rFonts w:eastAsia="Gungsuh"/>
          <w:color w:val="000000" w:themeColor="text1"/>
          <w:sz w:val="26"/>
          <w:szCs w:val="26"/>
        </w:rPr>
        <w:t>Победителем аукциона признается участник, предложивший наиболее высокую цену за объект. В день проведения аукциона победитель подписывает протокол аукциона. Отказ победителя аукциона подтвердить его итоги в день заседания (т.е. отказ от подписания протокола) или неуплата предложенной им цены за право пользования недрами в течение пяти банковских дней после подписания протокола об аукционе, рассматривается как отказ от права пользования объектом недр, гарантийный взнос не возвращается.</w:t>
      </w:r>
    </w:p>
    <w:p w:rsidR="00BF12B5" w:rsidRDefault="00BF12B5" w:rsidP="00BF12B5">
      <w:pPr>
        <w:pStyle w:val="Style2"/>
        <w:widowControl/>
        <w:tabs>
          <w:tab w:val="left" w:pos="1134"/>
        </w:tabs>
        <w:spacing w:line="240" w:lineRule="auto"/>
        <w:ind w:firstLine="709"/>
        <w:rPr>
          <w:rFonts w:eastAsia="Gungsuh"/>
        </w:rPr>
      </w:pPr>
    </w:p>
    <w:p w:rsidR="00BF12B5" w:rsidRDefault="00BF12B5" w:rsidP="00BF12B5">
      <w:pPr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</w:rPr>
      </w:pPr>
    </w:p>
    <w:p w:rsidR="008E6DA0" w:rsidRPr="00BF12B5" w:rsidRDefault="008E6DA0" w:rsidP="00BF12B5"/>
    <w:sectPr w:rsidR="008E6DA0" w:rsidRPr="00BF12B5" w:rsidSect="00856109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A9C" w:rsidRDefault="00F32A9C">
      <w:pPr>
        <w:spacing w:after="0" w:line="240" w:lineRule="auto"/>
      </w:pPr>
      <w:r>
        <w:separator/>
      </w:r>
    </w:p>
  </w:endnote>
  <w:endnote w:type="continuationSeparator" w:id="0">
    <w:p w:rsidR="00F32A9C" w:rsidRDefault="00F32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88080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E75B5C" w:rsidRPr="003B57D5" w:rsidRDefault="001C25B7" w:rsidP="003B57D5">
        <w:pPr>
          <w:pStyle w:val="ac"/>
          <w:jc w:val="right"/>
          <w:rPr>
            <w:rFonts w:ascii="Times New Roman" w:hAnsi="Times New Roman" w:cs="Times New Roman"/>
            <w:sz w:val="24"/>
          </w:rPr>
        </w:pPr>
        <w:r w:rsidRPr="003B57D5">
          <w:rPr>
            <w:rFonts w:ascii="Times New Roman" w:hAnsi="Times New Roman" w:cs="Times New Roman"/>
            <w:sz w:val="24"/>
          </w:rPr>
          <w:fldChar w:fldCharType="begin"/>
        </w:r>
        <w:r w:rsidR="002D7DD1" w:rsidRPr="003B57D5">
          <w:rPr>
            <w:rFonts w:ascii="Times New Roman" w:hAnsi="Times New Roman" w:cs="Times New Roman"/>
            <w:sz w:val="24"/>
          </w:rPr>
          <w:instrText>PAGE   \* MERGEFORMAT</w:instrText>
        </w:r>
        <w:r w:rsidRPr="003B57D5">
          <w:rPr>
            <w:rFonts w:ascii="Times New Roman" w:hAnsi="Times New Roman" w:cs="Times New Roman"/>
            <w:sz w:val="24"/>
          </w:rPr>
          <w:fldChar w:fldCharType="separate"/>
        </w:r>
        <w:r w:rsidR="001A71A2">
          <w:rPr>
            <w:rFonts w:ascii="Times New Roman" w:hAnsi="Times New Roman" w:cs="Times New Roman"/>
            <w:noProof/>
            <w:sz w:val="24"/>
          </w:rPr>
          <w:t>6</w:t>
        </w:r>
        <w:r w:rsidRPr="003B57D5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A9C" w:rsidRDefault="00F32A9C">
      <w:pPr>
        <w:spacing w:after="0" w:line="240" w:lineRule="auto"/>
      </w:pPr>
      <w:r>
        <w:separator/>
      </w:r>
    </w:p>
  </w:footnote>
  <w:footnote w:type="continuationSeparator" w:id="0">
    <w:p w:rsidR="00F32A9C" w:rsidRDefault="00F32A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E948B1C"/>
    <w:lvl w:ilvl="0">
      <w:numFmt w:val="bullet"/>
      <w:lvlText w:val="*"/>
      <w:lvlJc w:val="left"/>
    </w:lvl>
  </w:abstractNum>
  <w:abstractNum w:abstractNumId="1" w15:restartNumberingAfterBreak="0">
    <w:nsid w:val="1BD029A3"/>
    <w:multiLevelType w:val="hybridMultilevel"/>
    <w:tmpl w:val="4AD89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7258D7"/>
    <w:multiLevelType w:val="hybridMultilevel"/>
    <w:tmpl w:val="91700626"/>
    <w:lvl w:ilvl="0" w:tplc="FC1670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69DE3A78"/>
    <w:multiLevelType w:val="hybridMultilevel"/>
    <w:tmpl w:val="5B94D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Arial" w:hAnsi="Arial" w:cs="Arial" w:hint="default"/>
        </w:rPr>
      </w:lvl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A2C0B"/>
    <w:rsid w:val="0001006A"/>
    <w:rsid w:val="0002609C"/>
    <w:rsid w:val="00032190"/>
    <w:rsid w:val="00052516"/>
    <w:rsid w:val="000534D7"/>
    <w:rsid w:val="000614E1"/>
    <w:rsid w:val="00090A32"/>
    <w:rsid w:val="00091B6D"/>
    <w:rsid w:val="000A0CA0"/>
    <w:rsid w:val="000A7FF7"/>
    <w:rsid w:val="000C6C89"/>
    <w:rsid w:val="000E0173"/>
    <w:rsid w:val="000E3F59"/>
    <w:rsid w:val="000F10C8"/>
    <w:rsid w:val="000F336B"/>
    <w:rsid w:val="000F5402"/>
    <w:rsid w:val="00104D0C"/>
    <w:rsid w:val="00120A8B"/>
    <w:rsid w:val="0013006D"/>
    <w:rsid w:val="00174172"/>
    <w:rsid w:val="001962AA"/>
    <w:rsid w:val="001A71A2"/>
    <w:rsid w:val="001C25B7"/>
    <w:rsid w:val="001E0E9A"/>
    <w:rsid w:val="002436E6"/>
    <w:rsid w:val="00251DB1"/>
    <w:rsid w:val="0025754E"/>
    <w:rsid w:val="00260E5A"/>
    <w:rsid w:val="00261555"/>
    <w:rsid w:val="00264F00"/>
    <w:rsid w:val="002832AE"/>
    <w:rsid w:val="00285824"/>
    <w:rsid w:val="002C2EA5"/>
    <w:rsid w:val="002C722C"/>
    <w:rsid w:val="002D7DD1"/>
    <w:rsid w:val="002F73A6"/>
    <w:rsid w:val="0030405D"/>
    <w:rsid w:val="00314778"/>
    <w:rsid w:val="00343566"/>
    <w:rsid w:val="00350D00"/>
    <w:rsid w:val="003540D3"/>
    <w:rsid w:val="00354DB7"/>
    <w:rsid w:val="00360705"/>
    <w:rsid w:val="00364CD9"/>
    <w:rsid w:val="00374FE0"/>
    <w:rsid w:val="003827DE"/>
    <w:rsid w:val="003A574A"/>
    <w:rsid w:val="003A6AA2"/>
    <w:rsid w:val="003B57D5"/>
    <w:rsid w:val="003D2AC0"/>
    <w:rsid w:val="003D4BDE"/>
    <w:rsid w:val="00407744"/>
    <w:rsid w:val="00417CC8"/>
    <w:rsid w:val="00425757"/>
    <w:rsid w:val="004329C6"/>
    <w:rsid w:val="00495DC2"/>
    <w:rsid w:val="004A76E1"/>
    <w:rsid w:val="004D26C6"/>
    <w:rsid w:val="004D4684"/>
    <w:rsid w:val="004E1E5A"/>
    <w:rsid w:val="004F1FAC"/>
    <w:rsid w:val="004F2FB0"/>
    <w:rsid w:val="00502578"/>
    <w:rsid w:val="0052715D"/>
    <w:rsid w:val="00527513"/>
    <w:rsid w:val="00555FCC"/>
    <w:rsid w:val="005576F4"/>
    <w:rsid w:val="00563482"/>
    <w:rsid w:val="005706B9"/>
    <w:rsid w:val="005961C2"/>
    <w:rsid w:val="005A4BD2"/>
    <w:rsid w:val="005B4735"/>
    <w:rsid w:val="005B6E39"/>
    <w:rsid w:val="005C1441"/>
    <w:rsid w:val="005C3500"/>
    <w:rsid w:val="005F0D55"/>
    <w:rsid w:val="006033E9"/>
    <w:rsid w:val="006057A1"/>
    <w:rsid w:val="00634E85"/>
    <w:rsid w:val="006379FF"/>
    <w:rsid w:val="006672F7"/>
    <w:rsid w:val="0067051E"/>
    <w:rsid w:val="00684843"/>
    <w:rsid w:val="006854DB"/>
    <w:rsid w:val="006B5174"/>
    <w:rsid w:val="006C0202"/>
    <w:rsid w:val="006E1B94"/>
    <w:rsid w:val="006E3D88"/>
    <w:rsid w:val="006E4B98"/>
    <w:rsid w:val="007121B3"/>
    <w:rsid w:val="00724D21"/>
    <w:rsid w:val="0075386C"/>
    <w:rsid w:val="00754EE8"/>
    <w:rsid w:val="0077074E"/>
    <w:rsid w:val="00780E7B"/>
    <w:rsid w:val="00783362"/>
    <w:rsid w:val="007916A1"/>
    <w:rsid w:val="007A3685"/>
    <w:rsid w:val="007C7D28"/>
    <w:rsid w:val="007D53F7"/>
    <w:rsid w:val="007E7BA6"/>
    <w:rsid w:val="007F015E"/>
    <w:rsid w:val="007F41A1"/>
    <w:rsid w:val="00813EBC"/>
    <w:rsid w:val="00831B5A"/>
    <w:rsid w:val="008539EA"/>
    <w:rsid w:val="00856109"/>
    <w:rsid w:val="00861AD5"/>
    <w:rsid w:val="008667F0"/>
    <w:rsid w:val="00872E98"/>
    <w:rsid w:val="008957CF"/>
    <w:rsid w:val="008A67C9"/>
    <w:rsid w:val="008B0288"/>
    <w:rsid w:val="008B4A75"/>
    <w:rsid w:val="008C0FE2"/>
    <w:rsid w:val="008D0503"/>
    <w:rsid w:val="008E6DA0"/>
    <w:rsid w:val="00906E7A"/>
    <w:rsid w:val="009221FE"/>
    <w:rsid w:val="00927320"/>
    <w:rsid w:val="00941FF9"/>
    <w:rsid w:val="0094469A"/>
    <w:rsid w:val="0095436B"/>
    <w:rsid w:val="00954878"/>
    <w:rsid w:val="0096595F"/>
    <w:rsid w:val="00975761"/>
    <w:rsid w:val="009A2C0B"/>
    <w:rsid w:val="009D61DE"/>
    <w:rsid w:val="009D72C9"/>
    <w:rsid w:val="009E36BF"/>
    <w:rsid w:val="009F37EF"/>
    <w:rsid w:val="00A04F16"/>
    <w:rsid w:val="00A21845"/>
    <w:rsid w:val="00A230F4"/>
    <w:rsid w:val="00A3366D"/>
    <w:rsid w:val="00A54355"/>
    <w:rsid w:val="00A6798B"/>
    <w:rsid w:val="00A91471"/>
    <w:rsid w:val="00A91E11"/>
    <w:rsid w:val="00AA1A7B"/>
    <w:rsid w:val="00AA4D6C"/>
    <w:rsid w:val="00AB0519"/>
    <w:rsid w:val="00AB3DFC"/>
    <w:rsid w:val="00AC0AB7"/>
    <w:rsid w:val="00AC1C43"/>
    <w:rsid w:val="00AF4180"/>
    <w:rsid w:val="00AF4DAB"/>
    <w:rsid w:val="00B019DB"/>
    <w:rsid w:val="00B240AE"/>
    <w:rsid w:val="00B2516A"/>
    <w:rsid w:val="00B34142"/>
    <w:rsid w:val="00B761E3"/>
    <w:rsid w:val="00B920AD"/>
    <w:rsid w:val="00BA4370"/>
    <w:rsid w:val="00BB465E"/>
    <w:rsid w:val="00BC3CAF"/>
    <w:rsid w:val="00BC542A"/>
    <w:rsid w:val="00BD24CC"/>
    <w:rsid w:val="00BF12B5"/>
    <w:rsid w:val="00C058FB"/>
    <w:rsid w:val="00C107AC"/>
    <w:rsid w:val="00C234AC"/>
    <w:rsid w:val="00C34AAC"/>
    <w:rsid w:val="00C51278"/>
    <w:rsid w:val="00C57EED"/>
    <w:rsid w:val="00C72133"/>
    <w:rsid w:val="00C84141"/>
    <w:rsid w:val="00C8680F"/>
    <w:rsid w:val="00C94FE7"/>
    <w:rsid w:val="00CA60D0"/>
    <w:rsid w:val="00CB4720"/>
    <w:rsid w:val="00CB47C5"/>
    <w:rsid w:val="00CB60E4"/>
    <w:rsid w:val="00CE2668"/>
    <w:rsid w:val="00CE382D"/>
    <w:rsid w:val="00D0256D"/>
    <w:rsid w:val="00D105C9"/>
    <w:rsid w:val="00D36DF7"/>
    <w:rsid w:val="00D5708D"/>
    <w:rsid w:val="00D63C93"/>
    <w:rsid w:val="00DA4A45"/>
    <w:rsid w:val="00DE24C6"/>
    <w:rsid w:val="00DF1FE5"/>
    <w:rsid w:val="00E079E7"/>
    <w:rsid w:val="00E16526"/>
    <w:rsid w:val="00E63E66"/>
    <w:rsid w:val="00E675D5"/>
    <w:rsid w:val="00E71FED"/>
    <w:rsid w:val="00E755DB"/>
    <w:rsid w:val="00E75B5C"/>
    <w:rsid w:val="00E803AC"/>
    <w:rsid w:val="00E87DA3"/>
    <w:rsid w:val="00E9128B"/>
    <w:rsid w:val="00EB1F43"/>
    <w:rsid w:val="00EB5685"/>
    <w:rsid w:val="00EE0655"/>
    <w:rsid w:val="00EE306B"/>
    <w:rsid w:val="00EF13FE"/>
    <w:rsid w:val="00F0714E"/>
    <w:rsid w:val="00F139F1"/>
    <w:rsid w:val="00F2037D"/>
    <w:rsid w:val="00F32A9C"/>
    <w:rsid w:val="00F51CE1"/>
    <w:rsid w:val="00F80D33"/>
    <w:rsid w:val="00F84389"/>
    <w:rsid w:val="00F9526E"/>
    <w:rsid w:val="00F959D6"/>
    <w:rsid w:val="00FA0EB0"/>
    <w:rsid w:val="00FC2A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B15BB6"/>
  <w15:docId w15:val="{A391BA01-A05F-4681-8E97-0BD5855B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5B7"/>
  </w:style>
  <w:style w:type="paragraph" w:styleId="2">
    <w:name w:val="heading 2"/>
    <w:basedOn w:val="a"/>
    <w:next w:val="a"/>
    <w:link w:val="20"/>
    <w:unhideWhenUsed/>
    <w:qFormat/>
    <w:rsid w:val="00EE06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E065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Style2">
    <w:name w:val="Style2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EE0655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qFormat/>
    <w:rsid w:val="00EE0655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3">
    <w:name w:val="Основной текст_"/>
    <w:basedOn w:val="a0"/>
    <w:link w:val="6"/>
    <w:locked/>
    <w:rsid w:val="00EE0655"/>
    <w:rPr>
      <w:rFonts w:ascii="Gungsuh" w:eastAsia="Gungsuh" w:hAnsi="Gungsuh" w:cs="Gungsuh"/>
      <w:spacing w:val="-10"/>
      <w:sz w:val="15"/>
      <w:szCs w:val="15"/>
      <w:shd w:val="clear" w:color="auto" w:fill="FFFFFF"/>
    </w:rPr>
  </w:style>
  <w:style w:type="paragraph" w:customStyle="1" w:styleId="6">
    <w:name w:val="Основной текст6"/>
    <w:basedOn w:val="a"/>
    <w:link w:val="a3"/>
    <w:rsid w:val="00EE0655"/>
    <w:pPr>
      <w:widowControl w:val="0"/>
      <w:shd w:val="clear" w:color="auto" w:fill="FFFFFF"/>
      <w:spacing w:after="0" w:line="280" w:lineRule="exact"/>
      <w:jc w:val="both"/>
    </w:pPr>
    <w:rPr>
      <w:rFonts w:ascii="Gungsuh" w:eastAsia="Gungsuh" w:hAnsi="Gungsuh" w:cs="Gungsuh"/>
      <w:spacing w:val="-10"/>
      <w:sz w:val="15"/>
      <w:szCs w:val="15"/>
    </w:rPr>
  </w:style>
  <w:style w:type="paragraph" w:customStyle="1" w:styleId="tkTekst">
    <w:name w:val="_Текст обычный (tkTekst)"/>
    <w:basedOn w:val="a"/>
    <w:rsid w:val="00EE0655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tkTablica">
    <w:name w:val="_Текст таблицы (tkTablica)"/>
    <w:basedOn w:val="a"/>
    <w:rsid w:val="00EE0655"/>
    <w:pPr>
      <w:spacing w:after="60"/>
    </w:pPr>
    <w:rPr>
      <w:rFonts w:ascii="Arial" w:eastAsia="Times New Roman" w:hAnsi="Arial" w:cs="Arial"/>
      <w:sz w:val="20"/>
      <w:szCs w:val="20"/>
    </w:rPr>
  </w:style>
  <w:style w:type="character" w:customStyle="1" w:styleId="FontStyle23">
    <w:name w:val="Font Style23"/>
    <w:rsid w:val="00EE0655"/>
    <w:rPr>
      <w:rFonts w:ascii="Times New Roman" w:hAnsi="Times New Roman" w:cs="Times New Roman" w:hint="default"/>
      <w:sz w:val="24"/>
      <w:szCs w:val="24"/>
    </w:rPr>
  </w:style>
  <w:style w:type="character" w:customStyle="1" w:styleId="FontStyle16">
    <w:name w:val="Font Style16"/>
    <w:rsid w:val="00EE0655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Основной текст1"/>
    <w:basedOn w:val="a3"/>
    <w:rsid w:val="00EE0655"/>
    <w:rPr>
      <w:rFonts w:ascii="Gungsuh" w:eastAsia="Gungsuh" w:hAnsi="Gungsuh" w:cs="Gungsuh"/>
      <w:color w:val="000000"/>
      <w:spacing w:val="-10"/>
      <w:w w:val="100"/>
      <w:position w:val="0"/>
      <w:sz w:val="15"/>
      <w:szCs w:val="15"/>
      <w:shd w:val="clear" w:color="auto" w:fill="FFFFFF"/>
      <w:lang w:val="ru-RU"/>
    </w:rPr>
  </w:style>
  <w:style w:type="table" w:styleId="a4">
    <w:name w:val="Table Grid"/>
    <w:basedOn w:val="a1"/>
    <w:uiPriority w:val="59"/>
    <w:rsid w:val="00EE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425757"/>
    <w:rPr>
      <w:b/>
      <w:bCs/>
    </w:rPr>
  </w:style>
  <w:style w:type="paragraph" w:styleId="a6">
    <w:name w:val="List Paragraph"/>
    <w:basedOn w:val="a"/>
    <w:link w:val="a7"/>
    <w:uiPriority w:val="34"/>
    <w:qFormat/>
    <w:rsid w:val="006854DB"/>
    <w:pPr>
      <w:spacing w:after="160" w:line="259" w:lineRule="auto"/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854D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854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6854DB"/>
    <w:pPr>
      <w:spacing w:after="160" w:line="259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854DB"/>
    <w:rPr>
      <w:i/>
      <w:iCs/>
      <w:color w:val="000000" w:themeColor="text1"/>
    </w:rPr>
  </w:style>
  <w:style w:type="paragraph" w:styleId="a8">
    <w:name w:val="Balloon Text"/>
    <w:basedOn w:val="a"/>
    <w:link w:val="a9"/>
    <w:uiPriority w:val="99"/>
    <w:semiHidden/>
    <w:unhideWhenUsed/>
    <w:rsid w:val="00685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854DB"/>
    <w:rPr>
      <w:rFonts w:ascii="Tahoma" w:hAnsi="Tahoma" w:cs="Tahoma"/>
      <w:sz w:val="16"/>
      <w:szCs w:val="16"/>
    </w:rPr>
  </w:style>
  <w:style w:type="paragraph" w:customStyle="1" w:styleId="25">
    <w:name w:val="Основной текст (2)"/>
    <w:basedOn w:val="a"/>
    <w:link w:val="26"/>
    <w:rsid w:val="006854DB"/>
    <w:pPr>
      <w:shd w:val="clear" w:color="auto" w:fill="FFFFFF"/>
      <w:spacing w:before="180" w:after="0" w:line="374" w:lineRule="exact"/>
      <w:jc w:val="center"/>
    </w:pPr>
    <w:rPr>
      <w:rFonts w:ascii="Times New Roman" w:eastAsia="Arial Unicode MS" w:hAnsi="Times New Roman" w:cs="Times New Roman"/>
      <w:spacing w:val="10"/>
      <w:sz w:val="16"/>
      <w:szCs w:val="16"/>
    </w:rPr>
  </w:style>
  <w:style w:type="character" w:customStyle="1" w:styleId="26">
    <w:name w:val="Основной текст (2)_"/>
    <w:basedOn w:val="a0"/>
    <w:link w:val="25"/>
    <w:locked/>
    <w:rsid w:val="006854DB"/>
    <w:rPr>
      <w:rFonts w:ascii="Times New Roman" w:eastAsia="Arial Unicode MS" w:hAnsi="Times New Roman" w:cs="Times New Roman"/>
      <w:spacing w:val="10"/>
      <w:sz w:val="16"/>
      <w:szCs w:val="16"/>
      <w:shd w:val="clear" w:color="auto" w:fill="FFFFFF"/>
      <w:lang w:eastAsia="ru-RU"/>
    </w:rPr>
  </w:style>
  <w:style w:type="character" w:customStyle="1" w:styleId="210">
    <w:name w:val="Основной текст (2) + 10"/>
    <w:aliases w:val="5 pt4,Интервал 0 pt3"/>
    <w:basedOn w:val="26"/>
    <w:uiPriority w:val="99"/>
    <w:rsid w:val="006854DB"/>
    <w:rPr>
      <w:rFonts w:ascii="Times New Roman" w:eastAsia="Arial Unicode MS" w:hAnsi="Times New Roman" w:cs="Times New Roman"/>
      <w:spacing w:val="0"/>
      <w:sz w:val="21"/>
      <w:szCs w:val="21"/>
      <w:shd w:val="clear" w:color="auto" w:fill="FFFFFF"/>
      <w:lang w:eastAsia="ru-RU"/>
    </w:rPr>
  </w:style>
  <w:style w:type="character" w:customStyle="1" w:styleId="28">
    <w:name w:val="Основной текст (2) + 8"/>
    <w:aliases w:val="5 pt3"/>
    <w:basedOn w:val="26"/>
    <w:uiPriority w:val="99"/>
    <w:rsid w:val="006854DB"/>
    <w:rPr>
      <w:rFonts w:ascii="Times New Roman" w:eastAsia="Arial Unicode MS" w:hAnsi="Times New Roman" w:cs="Times New Roman"/>
      <w:spacing w:val="10"/>
      <w:sz w:val="17"/>
      <w:szCs w:val="17"/>
      <w:shd w:val="clear" w:color="auto" w:fill="FFFFFF"/>
      <w:lang w:val="en-US" w:eastAsia="en-US"/>
    </w:rPr>
  </w:style>
  <w:style w:type="character" w:customStyle="1" w:styleId="281">
    <w:name w:val="Основной текст (2) + 81"/>
    <w:aliases w:val="5 pt2,Интервал 0 pt1"/>
    <w:basedOn w:val="26"/>
    <w:uiPriority w:val="99"/>
    <w:rsid w:val="006854DB"/>
    <w:rPr>
      <w:rFonts w:ascii="Times New Roman" w:eastAsia="Arial Unicode MS" w:hAnsi="Times New Roman" w:cs="Times New Roman"/>
      <w:spacing w:val="0"/>
      <w:sz w:val="17"/>
      <w:szCs w:val="17"/>
      <w:shd w:val="clear" w:color="auto" w:fill="FFFFFF"/>
      <w:lang w:eastAsia="ru-RU"/>
    </w:rPr>
  </w:style>
  <w:style w:type="paragraph" w:styleId="aa">
    <w:name w:val="header"/>
    <w:basedOn w:val="a"/>
    <w:link w:val="ab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854DB"/>
  </w:style>
  <w:style w:type="paragraph" w:styleId="ac">
    <w:name w:val="footer"/>
    <w:basedOn w:val="a"/>
    <w:link w:val="ad"/>
    <w:uiPriority w:val="99"/>
    <w:unhideWhenUsed/>
    <w:rsid w:val="00685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854DB"/>
  </w:style>
  <w:style w:type="paragraph" w:customStyle="1" w:styleId="27">
    <w:name w:val="Без интервала2"/>
    <w:uiPriority w:val="99"/>
    <w:qFormat/>
    <w:rsid w:val="007121B3"/>
    <w:pPr>
      <w:spacing w:after="0" w:line="240" w:lineRule="auto"/>
    </w:pPr>
    <w:rPr>
      <w:rFonts w:ascii="Calibri" w:eastAsia="Times New Roman" w:hAnsi="Calibri" w:cs="Calibri"/>
    </w:rPr>
  </w:style>
  <w:style w:type="character" w:styleId="ae">
    <w:name w:val="Hyperlink"/>
    <w:basedOn w:val="a0"/>
    <w:uiPriority w:val="99"/>
    <w:rsid w:val="007121B3"/>
    <w:rPr>
      <w:color w:val="0000FF"/>
      <w:u w:val="single"/>
    </w:rPr>
  </w:style>
  <w:style w:type="paragraph" w:customStyle="1" w:styleId="3">
    <w:name w:val="Без интервала3"/>
    <w:uiPriority w:val="99"/>
    <w:qFormat/>
    <w:rsid w:val="008E6DA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Абзац списка Знак"/>
    <w:link w:val="a6"/>
    <w:uiPriority w:val="34"/>
    <w:locked/>
    <w:rsid w:val="004329C6"/>
  </w:style>
  <w:style w:type="character" w:customStyle="1" w:styleId="111">
    <w:name w:val="111 Знак"/>
    <w:basedOn w:val="a0"/>
    <w:link w:val="1110"/>
    <w:locked/>
    <w:rsid w:val="004329C6"/>
    <w:rPr>
      <w:rFonts w:ascii="Times New Roman" w:eastAsia="Calibri" w:hAnsi="Times New Roman" w:cs="Times New Roman"/>
      <w:sz w:val="28"/>
      <w:szCs w:val="28"/>
    </w:rPr>
  </w:style>
  <w:style w:type="paragraph" w:customStyle="1" w:styleId="1110">
    <w:name w:val="111"/>
    <w:basedOn w:val="a"/>
    <w:link w:val="111"/>
    <w:qFormat/>
    <w:rsid w:val="004329C6"/>
    <w:pPr>
      <w:tabs>
        <w:tab w:val="left" w:pos="1134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374">
    <w:name w:val="Основной текст + 1374"/>
    <w:aliases w:val="5 pt103"/>
    <w:uiPriority w:val="99"/>
    <w:rsid w:val="00360705"/>
    <w:rPr>
      <w:rFonts w:ascii="Times New Roman" w:hAnsi="Times New Roman" w:cs="Times New Roman"/>
      <w:spacing w:val="0"/>
      <w:sz w:val="27"/>
      <w:szCs w:val="27"/>
    </w:rPr>
  </w:style>
  <w:style w:type="character" w:customStyle="1" w:styleId="2TimesNewRoman11pt">
    <w:name w:val="Основной текст (2) + Times New Roman;11 pt"/>
    <w:basedOn w:val="26"/>
    <w:rsid w:val="009221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6"/>
    <w:rsid w:val="009221FE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Tahoma10pt">
    <w:name w:val="Основной текст (2) + Tahoma;10 pt"/>
    <w:basedOn w:val="26"/>
    <w:rsid w:val="009221FE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imesNewRoman">
    <w:name w:val="Основной текст (2) + Times New Roman"/>
    <w:aliases w:val="11 pt"/>
    <w:basedOn w:val="26"/>
    <w:rsid w:val="0040774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CordiaUPC">
    <w:name w:val="Основной текст (2) + CordiaUPC"/>
    <w:aliases w:val="16 pt,Полужирный"/>
    <w:basedOn w:val="26"/>
    <w:rsid w:val="00407744"/>
    <w:rPr>
      <w:rFonts w:ascii="CordiaUPC" w:eastAsia="CordiaUPC" w:hAnsi="CordiaUPC" w:cs="CordiaUPC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AAF7709-C6D9-4A8D-BD39-8617F80E1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6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2017-01-13T04:07:00Z</cp:lastPrinted>
  <dcterms:created xsi:type="dcterms:W3CDTF">2021-08-09T05:19:00Z</dcterms:created>
  <dcterms:modified xsi:type="dcterms:W3CDTF">2021-09-03T05:58:00Z</dcterms:modified>
</cp:coreProperties>
</file>