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065EEE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A76FB1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bookmarkStart w:id="0" w:name="_GoBack"/>
      <w:bookmarkEnd w:id="0"/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 w:rsidR="00065EEE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D53703">
        <w:rPr>
          <w:rFonts w:ascii="Times New Roman" w:eastAsia="Calibri" w:hAnsi="Times New Roman" w:cs="Times New Roman"/>
          <w:b/>
          <w:sz w:val="24"/>
          <w:szCs w:val="24"/>
        </w:rPr>
        <w:t xml:space="preserve">площади каменного угля </w:t>
      </w:r>
      <w:proofErr w:type="spellStart"/>
      <w:r w:rsidR="00D53703">
        <w:rPr>
          <w:rFonts w:ascii="Times New Roman" w:eastAsia="Calibri" w:hAnsi="Times New Roman" w:cs="Times New Roman"/>
          <w:b/>
          <w:sz w:val="24"/>
          <w:szCs w:val="24"/>
        </w:rPr>
        <w:t>Бахтыбай</w:t>
      </w:r>
      <w:proofErr w:type="spellEnd"/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E334F9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A25684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065EEE">
        <w:rPr>
          <w:rFonts w:ascii="Times New Roman" w:eastAsia="Calibri" w:hAnsi="Times New Roman" w:cs="Times New Roman"/>
          <w:sz w:val="24"/>
          <w:szCs w:val="24"/>
        </w:rPr>
        <w:t>я</w:t>
      </w:r>
      <w:r w:rsidR="00A25684">
        <w:rPr>
          <w:rFonts w:ascii="Times New Roman" w:eastAsia="Calibri" w:hAnsi="Times New Roman" w:cs="Times New Roman"/>
          <w:sz w:val="24"/>
          <w:szCs w:val="24"/>
        </w:rPr>
        <w:t xml:space="preserve"> геологоразведочных работ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53703">
        <w:rPr>
          <w:rFonts w:ascii="Times New Roman" w:eastAsia="Calibri" w:hAnsi="Times New Roman" w:cs="Times New Roman"/>
          <w:sz w:val="24"/>
          <w:szCs w:val="24"/>
        </w:rPr>
        <w:t xml:space="preserve">площади каменного угля </w:t>
      </w:r>
      <w:proofErr w:type="spellStart"/>
      <w:r w:rsidR="00D53703">
        <w:rPr>
          <w:rFonts w:ascii="Times New Roman" w:eastAsia="Calibri" w:hAnsi="Times New Roman" w:cs="Times New Roman"/>
          <w:sz w:val="24"/>
          <w:szCs w:val="24"/>
        </w:rPr>
        <w:t>Бахтыбай</w:t>
      </w:r>
      <w:proofErr w:type="spellEnd"/>
      <w:r w:rsidRPr="008B2849">
        <w:rPr>
          <w:rFonts w:ascii="Times New Roman" w:hAnsi="Times New Roman" w:cs="Times New Roman"/>
          <w:sz w:val="24"/>
          <w:szCs w:val="24"/>
        </w:rPr>
        <w:t>.</w:t>
      </w:r>
    </w:p>
    <w:p w:rsidR="00E334F9" w:rsidRPr="00A25684" w:rsidRDefault="00AE7256" w:rsidP="00E334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A25684">
        <w:rPr>
          <w:rFonts w:ascii="Times New Roman" w:hAnsi="Times New Roman" w:cs="Times New Roman"/>
          <w:sz w:val="24"/>
          <w:szCs w:val="24"/>
        </w:rPr>
        <w:t>предоставления права пользования недрами, выставляется на аукцион:</w:t>
      </w:r>
      <w:r w:rsidRPr="00A25684">
        <w:rPr>
          <w:sz w:val="24"/>
          <w:szCs w:val="24"/>
        </w:rPr>
        <w:t xml:space="preserve"> </w:t>
      </w:r>
      <w:r w:rsidR="00E54CBD" w:rsidRPr="00A25684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A25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703">
        <w:rPr>
          <w:rFonts w:ascii="Times New Roman" w:eastAsia="Calibri" w:hAnsi="Times New Roman" w:cs="Times New Roman"/>
          <w:sz w:val="24"/>
          <w:szCs w:val="24"/>
        </w:rPr>
        <w:t>Бахтыбай</w:t>
      </w:r>
      <w:proofErr w:type="spellEnd"/>
      <w:r w:rsidR="008B2849" w:rsidRPr="00A25684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25684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684">
        <w:rPr>
          <w:rFonts w:ascii="Times New Roman" w:hAnsi="Times New Roman" w:cs="Times New Roman"/>
          <w:sz w:val="24"/>
          <w:szCs w:val="24"/>
        </w:rPr>
        <w:t>2.3.</w:t>
      </w:r>
      <w:r w:rsidRPr="00A25684">
        <w:rPr>
          <w:rFonts w:ascii="Times New Roman" w:hAnsi="Times New Roman" w:cs="Times New Roman"/>
          <w:sz w:val="24"/>
          <w:szCs w:val="24"/>
        </w:rPr>
        <w:tab/>
      </w:r>
      <w:r w:rsidRPr="00A25684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25684">
        <w:rPr>
          <w:rFonts w:ascii="Times New Roman" w:hAnsi="Times New Roman" w:cs="Times New Roman"/>
          <w:sz w:val="24"/>
          <w:szCs w:val="24"/>
        </w:rPr>
        <w:t xml:space="preserve"> – </w:t>
      </w:r>
      <w:r w:rsidR="00A25684" w:rsidRPr="00A25684">
        <w:rPr>
          <w:rFonts w:ascii="Times New Roman" w:eastAsia="Calibri" w:hAnsi="Times New Roman" w:cs="Times New Roman"/>
          <w:sz w:val="24"/>
          <w:szCs w:val="24"/>
        </w:rPr>
        <w:t>каменный уголь</w:t>
      </w:r>
      <w:r w:rsidRPr="00A25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25684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84">
        <w:rPr>
          <w:rFonts w:ascii="Times New Roman" w:hAnsi="Times New Roman" w:cs="Times New Roman"/>
          <w:b/>
          <w:sz w:val="24"/>
          <w:szCs w:val="24"/>
        </w:rPr>
        <w:t>3.</w:t>
      </w:r>
      <w:r w:rsidRPr="00A25684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25684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84">
        <w:rPr>
          <w:rFonts w:ascii="Times New Roman" w:hAnsi="Times New Roman" w:cs="Times New Roman"/>
          <w:b/>
          <w:sz w:val="24"/>
          <w:szCs w:val="24"/>
        </w:rPr>
        <w:t>3.1</w:t>
      </w:r>
      <w:r w:rsidRPr="00A25684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25684">
        <w:rPr>
          <w:rFonts w:ascii="Times New Roman" w:hAnsi="Times New Roman" w:cs="Times New Roman"/>
          <w:sz w:val="24"/>
          <w:szCs w:val="24"/>
        </w:rPr>
        <w:t>:</w:t>
      </w:r>
    </w:p>
    <w:p w:rsidR="00A25684" w:rsidRPr="00A25684" w:rsidRDefault="00A25684" w:rsidP="00A2568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5684">
        <w:rPr>
          <w:rFonts w:ascii="Times New Roman" w:hAnsi="Times New Roman" w:cs="Times New Roman"/>
          <w:sz w:val="24"/>
          <w:szCs w:val="24"/>
        </w:rPr>
        <w:t>Административно участок «</w:t>
      </w:r>
      <w:proofErr w:type="spellStart"/>
      <w:r w:rsidR="00D53703">
        <w:rPr>
          <w:rFonts w:ascii="Times New Roman" w:hAnsi="Times New Roman" w:cs="Times New Roman"/>
          <w:sz w:val="24"/>
          <w:szCs w:val="24"/>
        </w:rPr>
        <w:t>Бахтыбай</w:t>
      </w:r>
      <w:proofErr w:type="spellEnd"/>
      <w:r w:rsidRPr="00A25684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proofErr w:type="spellStart"/>
      <w:r w:rsidRPr="00A25684">
        <w:rPr>
          <w:rFonts w:ascii="Times New Roman" w:hAnsi="Times New Roman" w:cs="Times New Roman"/>
          <w:sz w:val="24"/>
          <w:szCs w:val="24"/>
        </w:rPr>
        <w:t>Озгонскому</w:t>
      </w:r>
      <w:proofErr w:type="spellEnd"/>
      <w:r w:rsidRPr="00A2568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A25684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A25684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A2568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25684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A25684" w:rsidRPr="00A25684" w:rsidRDefault="00D53703" w:rsidP="00A25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Бахтыбайская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A25684" w:rsidRPr="00A25684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5684" w:rsidRPr="00A25684">
        <w:rPr>
          <w:rFonts w:ascii="Times New Roman" w:hAnsi="Times New Roman" w:cs="Times New Roman"/>
          <w:sz w:val="24"/>
          <w:szCs w:val="24"/>
        </w:rPr>
        <w:t xml:space="preserve"> на юго-западном склоне Ферганского хребта, в бассейне средних течений рек Кара-</w:t>
      </w:r>
      <w:proofErr w:type="spellStart"/>
      <w:r w:rsidR="00A25684" w:rsidRPr="00A25684">
        <w:rPr>
          <w:rFonts w:ascii="Times New Roman" w:hAnsi="Times New Roman" w:cs="Times New Roman"/>
          <w:sz w:val="24"/>
          <w:szCs w:val="24"/>
        </w:rPr>
        <w:t>Добо</w:t>
      </w:r>
      <w:proofErr w:type="spellEnd"/>
      <w:r w:rsidR="00A25684" w:rsidRPr="00A25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5684" w:rsidRPr="00A25684">
        <w:rPr>
          <w:rFonts w:ascii="Times New Roman" w:hAnsi="Times New Roman" w:cs="Times New Roman"/>
          <w:sz w:val="24"/>
          <w:szCs w:val="24"/>
        </w:rPr>
        <w:t>Байбиче</w:t>
      </w:r>
      <w:proofErr w:type="spellEnd"/>
      <w:r w:rsidR="00A25684" w:rsidRPr="00A25684">
        <w:rPr>
          <w:rFonts w:ascii="Times New Roman" w:hAnsi="Times New Roman" w:cs="Times New Roman"/>
          <w:sz w:val="24"/>
          <w:szCs w:val="24"/>
        </w:rPr>
        <w:t>, являющихся правыми притоками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Донуз-Тоо</w:t>
      </w:r>
      <w:proofErr w:type="spellEnd"/>
      <w:r w:rsidR="00A25684" w:rsidRPr="00A25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8B2849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sz w:val="24"/>
          <w:szCs w:val="24"/>
        </w:rPr>
        <w:t>3.2.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8B2849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849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D9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13410578.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D97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4541383. 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13411426.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4540725.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13411031.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4539624.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13409667.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4539651.</w:t>
            </w:r>
          </w:p>
        </w:tc>
      </w:tr>
      <w:tr w:rsidR="008B2849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13409104.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D97D55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4540857.</w:t>
            </w:r>
          </w:p>
        </w:tc>
      </w:tr>
      <w:tr w:rsidR="00052860" w:rsidRPr="008B2849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052860" w:rsidRPr="008B2849" w:rsidRDefault="008B2849" w:rsidP="00D9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2860"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лощадь </w:t>
            </w:r>
            <w:r w:rsidR="00D97D55">
              <w:rPr>
                <w:rFonts w:ascii="Times New Roman" w:hAnsi="Times New Roman" w:cs="Times New Roman"/>
                <w:b/>
                <w:sz w:val="24"/>
                <w:szCs w:val="24"/>
              </w:rPr>
              <w:t>282,3</w:t>
            </w:r>
            <w:r w:rsidR="00A2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860"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</w:tr>
    </w:tbl>
    <w:p w:rsidR="00AE7256" w:rsidRPr="008B2849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8B2849">
        <w:rPr>
          <w:rFonts w:ascii="Times New Roman" w:hAnsi="Times New Roman" w:cs="Times New Roman"/>
          <w:b/>
          <w:sz w:val="24"/>
          <w:szCs w:val="24"/>
        </w:rPr>
        <w:t>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В геологическом строении месторождения принимают участие комплекс пород палеозоя, триас-юрские и современные отложения.</w:t>
      </w:r>
    </w:p>
    <w:p w:rsidR="00F279C6" w:rsidRPr="00F279C6" w:rsidRDefault="00F279C6" w:rsidP="00F2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Первые сведения о месторождении Кара-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Добо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встречаются в описании долины рек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Байбиче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и Кара-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Добе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Д.И.Мушкетовым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(1909-1916гг.).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 xml:space="preserve">В 1937г.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Н.В.Шабаров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дал полную характеристику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Озгонского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(Восточно-Ферганского) каменноугольного бассейна, где выделено месторождение Кара-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Добо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>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В 1942-1944г.г. выполнена топографическая и геологическая съемка масштаба 1:5000.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Геологоразведочные работы (1941-45г.г) на Кара-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Добинском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месторождении проводились горными выработками вдоль выхода продуктивной толщи на дневную поверхность.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С помощью канав, были изучены разрезы угленосных отложений, распределение угольных пластов в различных частях разреза, установлено количество, мощность угольных пластов и их площадное распространение, а также разрешены другие вопросы, связанные с изучением геологического строения.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lastRenderedPageBreak/>
        <w:t>На основании анализа имеющихся материалов сделан вывод, что угольные пласты изучены только по выходам, в связи с этим стадия изученности месторождения Кара-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Добо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1941-45гг. признана как поисковая, а отнесены к прогнозным ресурсам.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 xml:space="preserve">Угленосными являются отложения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туйукской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свиты. Отложения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чаарташской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зынданской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свит являются слабо угленосными. 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 xml:space="preserve">В основной угленосной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туйукской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свите выделяется более двадцати пластов и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пропластков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угля. Только шесть пластов участками достигают мощности более 0.5м, из них три пласта III, IV и V имеют наибольшее площадное распространение.</w:t>
      </w:r>
    </w:p>
    <w:p w:rsidR="00F279C6" w:rsidRPr="00F279C6" w:rsidRDefault="00F279C6" w:rsidP="00F2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Наибольшим распространением пользуются угли блестящие и полуматовые. Для углей, блестящих характерным является яркий алмазный блеск, черный с сероватым оттенком цвет.</w:t>
      </w:r>
    </w:p>
    <w:p w:rsidR="00F279C6" w:rsidRPr="00F279C6" w:rsidRDefault="00F279C6" w:rsidP="00F2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 xml:space="preserve">Угли участка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Балкамыш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имеют интенсивно черный цвет, блестящие разности- характерный шелковистый блеск.</w:t>
      </w:r>
    </w:p>
    <w:p w:rsidR="00F279C6" w:rsidRPr="00F279C6" w:rsidRDefault="00F279C6" w:rsidP="00F2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>Глубина зоны окисленных углей в основном до 10м. По падению пластов часто глубина этой зоны не превышает 3-5м. Технические показатели качества углей в зоне окисления особо не меняются.</w:t>
      </w:r>
    </w:p>
    <w:p w:rsidR="00F279C6" w:rsidRPr="00F279C6" w:rsidRDefault="00F279C6" w:rsidP="00F2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sz w:val="24"/>
          <w:szCs w:val="24"/>
        </w:rPr>
        <w:t xml:space="preserve">По заключению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углепетрографа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А.И.Гинзбурга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на месторождении выделяются 4 основных петрографических типа углей:</w:t>
      </w:r>
    </w:p>
    <w:p w:rsidR="00F279C6" w:rsidRPr="00F279C6" w:rsidRDefault="00F279C6" w:rsidP="00F27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b/>
          <w:sz w:val="24"/>
          <w:szCs w:val="24"/>
        </w:rPr>
        <w:t>1</w:t>
      </w:r>
      <w:r w:rsidRPr="00F279C6">
        <w:rPr>
          <w:rFonts w:ascii="Times New Roman" w:hAnsi="Times New Roman" w:cs="Times New Roman"/>
          <w:sz w:val="24"/>
          <w:szCs w:val="24"/>
        </w:rPr>
        <w:t xml:space="preserve">.Блестящий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клареновый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однородный;</w:t>
      </w:r>
    </w:p>
    <w:p w:rsidR="00F279C6" w:rsidRPr="00F279C6" w:rsidRDefault="00F279C6" w:rsidP="00F27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b/>
          <w:sz w:val="24"/>
          <w:szCs w:val="24"/>
        </w:rPr>
        <w:t>2</w:t>
      </w:r>
      <w:r w:rsidRPr="00F279C6">
        <w:rPr>
          <w:rFonts w:ascii="Times New Roman" w:hAnsi="Times New Roman" w:cs="Times New Roman"/>
          <w:sz w:val="24"/>
          <w:szCs w:val="24"/>
        </w:rPr>
        <w:t xml:space="preserve">.Блестящий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клареновый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комплексно- полосчатый с включениями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дюрена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>;</w:t>
      </w:r>
    </w:p>
    <w:p w:rsidR="00F279C6" w:rsidRPr="00F279C6" w:rsidRDefault="00F279C6" w:rsidP="00F279C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b/>
          <w:sz w:val="24"/>
          <w:szCs w:val="24"/>
        </w:rPr>
        <w:t>3</w:t>
      </w:r>
      <w:r w:rsidRPr="00F279C6">
        <w:rPr>
          <w:rFonts w:ascii="Times New Roman" w:hAnsi="Times New Roman" w:cs="Times New Roman"/>
          <w:sz w:val="24"/>
          <w:szCs w:val="24"/>
        </w:rPr>
        <w:t xml:space="preserve">.Полуматовый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кларено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дюреновый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однородный; </w:t>
      </w:r>
    </w:p>
    <w:p w:rsidR="00F279C6" w:rsidRPr="00F279C6" w:rsidRDefault="00F279C6" w:rsidP="00F27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9C6">
        <w:rPr>
          <w:rFonts w:ascii="Times New Roman" w:hAnsi="Times New Roman" w:cs="Times New Roman"/>
          <w:b/>
          <w:sz w:val="24"/>
          <w:szCs w:val="24"/>
        </w:rPr>
        <w:t>4</w:t>
      </w:r>
      <w:r w:rsidRPr="00F279C6">
        <w:rPr>
          <w:rFonts w:ascii="Times New Roman" w:hAnsi="Times New Roman" w:cs="Times New Roman"/>
          <w:sz w:val="24"/>
          <w:szCs w:val="24"/>
        </w:rPr>
        <w:t xml:space="preserve">.Матовый, </w:t>
      </w:r>
      <w:proofErr w:type="spellStart"/>
      <w:r w:rsidRPr="00F279C6">
        <w:rPr>
          <w:rFonts w:ascii="Times New Roman" w:hAnsi="Times New Roman" w:cs="Times New Roman"/>
          <w:sz w:val="24"/>
          <w:szCs w:val="24"/>
        </w:rPr>
        <w:t>дюреновый</w:t>
      </w:r>
      <w:proofErr w:type="spellEnd"/>
      <w:r w:rsidRPr="00F279C6">
        <w:rPr>
          <w:rFonts w:ascii="Times New Roman" w:hAnsi="Times New Roman" w:cs="Times New Roman"/>
          <w:sz w:val="24"/>
          <w:szCs w:val="24"/>
        </w:rPr>
        <w:t xml:space="preserve"> однородный.</w:t>
      </w:r>
    </w:p>
    <w:p w:rsidR="00F279C6" w:rsidRPr="00F279C6" w:rsidRDefault="009875E9" w:rsidP="00F27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</w:t>
      </w:r>
      <w:r w:rsidR="00F279C6" w:rsidRPr="00F279C6">
        <w:rPr>
          <w:rFonts w:ascii="Times New Roman" w:hAnsi="Times New Roman" w:cs="Times New Roman"/>
          <w:sz w:val="24"/>
          <w:szCs w:val="24"/>
        </w:rPr>
        <w:t xml:space="preserve"> проведены геологоразведочных работы по площади неравномерно, связи этого данный площадь требуется проведение дополнительные оценки сгущение разведочные сет до по требование инструкции ГКЗ.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065EEE" w:rsidRDefault="00065EEE" w:rsidP="00065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065EEE" w:rsidRDefault="00065EEE" w:rsidP="00065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065EEE" w:rsidRDefault="00065EEE" w:rsidP="00065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065EEE" w:rsidRDefault="00065EEE" w:rsidP="00065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065EEE" w:rsidRDefault="00065EEE" w:rsidP="00065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206.</w:t>
      </w:r>
    </w:p>
    <w:p w:rsidR="00065EEE" w:rsidRDefault="00065EEE" w:rsidP="00065EE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065EEE" w:rsidRDefault="00065EEE" w:rsidP="00065EE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065EEE" w:rsidRDefault="00065EEE" w:rsidP="00065EE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065EEE" w:rsidRDefault="00065EEE" w:rsidP="00065EEE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1E330F">
        <w:rPr>
          <w:rStyle w:val="FontStyle16"/>
          <w:rFonts w:eastAsia="Gungsuh"/>
          <w:b/>
          <w:sz w:val="24"/>
          <w:szCs w:val="24"/>
        </w:rPr>
        <w:t>10 000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025732">
        <w:rPr>
          <w:rStyle w:val="FontStyle16"/>
          <w:rFonts w:eastAsia="Gungsuh"/>
          <w:b/>
          <w:sz w:val="24"/>
          <w:szCs w:val="24"/>
        </w:rPr>
        <w:t>14 111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025732">
        <w:rPr>
          <w:rStyle w:val="FontStyle16"/>
          <w:rFonts w:eastAsia="Gungsuh"/>
          <w:b/>
          <w:sz w:val="24"/>
          <w:szCs w:val="24"/>
        </w:rPr>
        <w:t>3420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lastRenderedPageBreak/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025732">
        <w:rPr>
          <w:rStyle w:val="FontStyle16"/>
          <w:rFonts w:eastAsia="Gungsuh"/>
          <w:sz w:val="24"/>
          <w:szCs w:val="24"/>
        </w:rPr>
        <w:t>342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025732">
        <w:rPr>
          <w:rStyle w:val="FontStyle16"/>
          <w:rFonts w:eastAsia="Gungsuh"/>
          <w:sz w:val="24"/>
          <w:szCs w:val="24"/>
        </w:rPr>
        <w:t>34 205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16" w:rsidRDefault="008C0616">
      <w:pPr>
        <w:spacing w:after="0" w:line="240" w:lineRule="auto"/>
      </w:pPr>
      <w:r>
        <w:separator/>
      </w:r>
    </w:p>
  </w:endnote>
  <w:endnote w:type="continuationSeparator" w:id="0">
    <w:p w:rsidR="008C0616" w:rsidRDefault="008C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16" w:rsidRDefault="008C0616">
      <w:pPr>
        <w:spacing w:after="0" w:line="240" w:lineRule="auto"/>
      </w:pPr>
      <w:r>
        <w:separator/>
      </w:r>
    </w:p>
  </w:footnote>
  <w:footnote w:type="continuationSeparator" w:id="0">
    <w:p w:rsidR="008C0616" w:rsidRDefault="008C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25732"/>
    <w:rsid w:val="00032190"/>
    <w:rsid w:val="00052860"/>
    <w:rsid w:val="000534D7"/>
    <w:rsid w:val="00060B47"/>
    <w:rsid w:val="00063063"/>
    <w:rsid w:val="00065EEE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A00C9"/>
    <w:rsid w:val="001B3160"/>
    <w:rsid w:val="001B6C6D"/>
    <w:rsid w:val="001E330F"/>
    <w:rsid w:val="002010BF"/>
    <w:rsid w:val="0020190E"/>
    <w:rsid w:val="0021145D"/>
    <w:rsid w:val="0022299E"/>
    <w:rsid w:val="002231F1"/>
    <w:rsid w:val="002302C8"/>
    <w:rsid w:val="0023745F"/>
    <w:rsid w:val="00242426"/>
    <w:rsid w:val="00251DB1"/>
    <w:rsid w:val="0025754E"/>
    <w:rsid w:val="00257F55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30DA0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01A6D"/>
    <w:rsid w:val="0070290B"/>
    <w:rsid w:val="007121B3"/>
    <w:rsid w:val="00724D21"/>
    <w:rsid w:val="00724EF1"/>
    <w:rsid w:val="00742A97"/>
    <w:rsid w:val="00745DB0"/>
    <w:rsid w:val="00753191"/>
    <w:rsid w:val="0075386C"/>
    <w:rsid w:val="00762DF7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2849"/>
    <w:rsid w:val="008B4491"/>
    <w:rsid w:val="008C0616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875E9"/>
    <w:rsid w:val="00995748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25684"/>
    <w:rsid w:val="00A326FC"/>
    <w:rsid w:val="00A3366D"/>
    <w:rsid w:val="00A6798B"/>
    <w:rsid w:val="00A760CD"/>
    <w:rsid w:val="00A76FB1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3703"/>
    <w:rsid w:val="00D5685C"/>
    <w:rsid w:val="00D5708D"/>
    <w:rsid w:val="00D64D0E"/>
    <w:rsid w:val="00D72E51"/>
    <w:rsid w:val="00D91CE3"/>
    <w:rsid w:val="00D949BB"/>
    <w:rsid w:val="00D96DE1"/>
    <w:rsid w:val="00D97D55"/>
    <w:rsid w:val="00DB62C6"/>
    <w:rsid w:val="00DF1FE5"/>
    <w:rsid w:val="00DF75B9"/>
    <w:rsid w:val="00E334F9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279C6"/>
    <w:rsid w:val="00F46CAF"/>
    <w:rsid w:val="00F64388"/>
    <w:rsid w:val="00F655EA"/>
    <w:rsid w:val="00F66EB1"/>
    <w:rsid w:val="00F7111D"/>
    <w:rsid w:val="00F84389"/>
    <w:rsid w:val="00F85F53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B9EE5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898B4-FD9B-4419-9761-918AB5D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cp:lastPrinted>2022-04-27T11:10:00Z</cp:lastPrinted>
  <dcterms:created xsi:type="dcterms:W3CDTF">2016-03-17T08:16:00Z</dcterms:created>
  <dcterms:modified xsi:type="dcterms:W3CDTF">2022-04-27T11:11:00Z</dcterms:modified>
</cp:coreProperties>
</file>