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7" w:rsidRDefault="003234E7" w:rsidP="003234E7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Государственного агентства геологии и недропользование при Министерстве энергетики и промышленности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 от «___» декабря 2021 года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геологоразведочных работ у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частка </w:t>
      </w:r>
      <w:r w:rsidR="00E55305">
        <w:rPr>
          <w:rFonts w:ascii="Times New Roman" w:hAnsi="Times New Roman" w:cs="Times New Roman"/>
          <w:b/>
          <w:sz w:val="24"/>
          <w:szCs w:val="24"/>
        </w:rPr>
        <w:t xml:space="preserve">каменноугольного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55305">
        <w:rPr>
          <w:rFonts w:ascii="Times New Roman" w:hAnsi="Times New Roman" w:cs="Times New Roman"/>
          <w:b/>
          <w:sz w:val="24"/>
          <w:szCs w:val="24"/>
        </w:rPr>
        <w:t>Жыл-Булак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проведения </w:t>
      </w:r>
      <w:r w:rsidR="00E55305">
        <w:rPr>
          <w:rFonts w:ascii="Times New Roman" w:eastAsia="Calibri" w:hAnsi="Times New Roman" w:cs="Times New Roman"/>
          <w:sz w:val="24"/>
          <w:szCs w:val="24"/>
        </w:rPr>
        <w:t>геологоразведочных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305">
        <w:rPr>
          <w:rFonts w:ascii="Times New Roman" w:hAnsi="Times New Roman" w:cs="Times New Roman"/>
          <w:sz w:val="24"/>
          <w:szCs w:val="24"/>
        </w:rPr>
        <w:t>Жыл-Булак</w:t>
      </w:r>
      <w:proofErr w:type="spellEnd"/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>
        <w:rPr>
          <w:sz w:val="24"/>
          <w:szCs w:val="24"/>
        </w:rPr>
        <w:t xml:space="preserve"> </w:t>
      </w:r>
      <w:proofErr w:type="spellStart"/>
      <w:r w:rsidR="00E55305">
        <w:rPr>
          <w:rFonts w:ascii="Times New Roman" w:hAnsi="Times New Roman" w:cs="Times New Roman"/>
          <w:sz w:val="24"/>
          <w:szCs w:val="24"/>
        </w:rPr>
        <w:t>Жыл-Булак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>
        <w:rPr>
          <w:rFonts w:ascii="Times New Roman" w:hAnsi="Times New Roman" w:cs="Times New Roman"/>
          <w:sz w:val="24"/>
          <w:szCs w:val="24"/>
        </w:rPr>
        <w:t xml:space="preserve"> – каменный уголь. </w:t>
      </w:r>
    </w:p>
    <w:p w:rsidR="003234E7" w:rsidRDefault="003234E7" w:rsidP="00323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4E7" w:rsidRDefault="003234E7" w:rsidP="0032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расположена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Аксыйском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="00E5530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234E7" w:rsidRDefault="003234E7" w:rsidP="003234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Абсолютные высоты местности 1000-1300 м. 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3234E7" w:rsidTr="003234E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881A2E" w:rsidP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13267606</w:t>
            </w:r>
            <w:bookmarkStart w:id="0" w:name="_GoBack"/>
            <w:bookmarkEnd w:id="0"/>
            <w:r w:rsidR="00E55305"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 w:rsidP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4598189.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13268644.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4598264.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13268152.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4598268.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13268640.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4598017.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13268384.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4598242.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13267650.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4597937.</w:t>
            </w:r>
          </w:p>
        </w:tc>
      </w:tr>
    </w:tbl>
    <w:p w:rsidR="003234E7" w:rsidRDefault="003234E7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К-43-</w:t>
      </w:r>
      <w:r w:rsidR="00E5530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E55305">
        <w:rPr>
          <w:rFonts w:ascii="Times New Roman" w:hAnsi="Times New Roman" w:cs="Times New Roman"/>
          <w:sz w:val="24"/>
          <w:szCs w:val="24"/>
        </w:rPr>
        <w:t>26,8</w:t>
      </w:r>
      <w:r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площади.</w:t>
      </w:r>
    </w:p>
    <w:p w:rsidR="00E55305" w:rsidRPr="00E55305" w:rsidRDefault="00E55305" w:rsidP="00E5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 xml:space="preserve">Границами - участка на юге, западе и северо-западе являются естественные выходы палеозойских отложений, на севере предполагаемый выход пласта угля под четвертичные отложения и тектоническое нарушение, на востоке тектонический контакт юрских отложений с образованиями нижней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>. Площадь месторождения занимает около 8км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5305">
        <w:rPr>
          <w:rFonts w:ascii="Times New Roman" w:hAnsi="Times New Roman" w:cs="Times New Roman"/>
          <w:sz w:val="24"/>
          <w:szCs w:val="24"/>
        </w:rPr>
        <w:t xml:space="preserve">, имеет изометрическую форму размером 25-30км диаметре.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Рельеф месторождения представляет собой всхолмленное плато, рассеченное глубокими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саями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с крутыми склонами и узкими днищами. Общий уклон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саев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и понижение рельефа направлены в сторону водосборного ручья Кара-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Тыт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, являющегося левым притоком реки Кара-Су. Абсолютные высотные отметки поверхности месторождения колеблются в пределах 700-1200м над уровнем моря. Относительные превышения водоразделов над тальвегами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саев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не превышают 50м.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Климат месторождения резко континентальный с сухим и жарким летом, теплой влажной осенью, малоснежной холодной зимой и дождливой весной. Наибольшее количество осадков выпадает в октябре - мае. Летом часты кратковременные дожди, образующие селевые потоки. Температура воздуха летом колеблется от +20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 xml:space="preserve"> до +45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>С в тени, а зимой опускается до -20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>С. Среднегодовая температура +15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>С. Снежный покров долго не держится, но из-за сильных ветров образуются снежные заносы, сугробы. В осенне-зимний период часто дует сильный южный ветер (до 30-40м/сек). На площади месторождения постоянные водотоки отсутствуют. За пределами месторождения зафиксированы два родника с пригодными для питьевых нужд пресными водами. Основной водной артерией района является река Кара-Су, протекающая в 2.5км западнее месторождения. Расход реки от 11.7 до 27.3м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5305">
        <w:rPr>
          <w:rFonts w:ascii="Times New Roman" w:hAnsi="Times New Roman" w:cs="Times New Roman"/>
          <w:sz w:val="24"/>
          <w:szCs w:val="24"/>
        </w:rPr>
        <w:t xml:space="preserve">/сек. Минимальный расход приходится на декабрь, январь и февраль месяцы, максимальный - на апрель и июнь. Уровень реки Кара-Су находится ниже поверхности месторождения на 200-300 м и является коллектором не только поверхностных вод, но и подземных вод района.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 xml:space="preserve">В зимний период (декабрь-февраль) почва промерзает на глубину первых десятков сантиметров.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 xml:space="preserve">По сейсмичности район месторождения относится к 9 бальному поясу землетрясений по 12-ти бальной шкале МСК.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 xml:space="preserve">Участок связано с городом и железнодорожной станцией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асфальтированной автомобильной дорогой. Город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связан с крупными населенными пунктами Ферганской долины асфальтированной шоссейной дорогой, а с крупными потребителями угля - железной дорогой.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В структурном отношении участок представляет собой крупную брахисинклинальную складку с пологими крыльями (15 -20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 xml:space="preserve">), протягивающуюся с юго-запада на северо-восток.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-восточное крыло, срезанное Западно-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Карасуйским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Нарынским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>) надвигом (F</w:t>
      </w:r>
      <w:r w:rsidRPr="00E553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5305">
        <w:rPr>
          <w:rFonts w:ascii="Times New Roman" w:hAnsi="Times New Roman" w:cs="Times New Roman"/>
          <w:sz w:val="24"/>
          <w:szCs w:val="24"/>
        </w:rPr>
        <w:t>) имеет более крутые (до 40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 xml:space="preserve">) углы падения. С востока и юго-востока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брахисинклиналь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ограничена Западно-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Карасуйским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Нарынским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>) надвигом (F</w:t>
      </w:r>
      <w:r w:rsidRPr="00E553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5305">
        <w:rPr>
          <w:rFonts w:ascii="Times New Roman" w:hAnsi="Times New Roman" w:cs="Times New Roman"/>
          <w:sz w:val="24"/>
          <w:szCs w:val="24"/>
        </w:rPr>
        <w:t>) палеозойских отложений на юрские. С севера брахисинклинальная складка ограничена сбросом (</w:t>
      </w:r>
      <w:r w:rsidRPr="00E553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53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5305">
        <w:rPr>
          <w:rFonts w:ascii="Times New Roman" w:hAnsi="Times New Roman" w:cs="Times New Roman"/>
          <w:sz w:val="24"/>
          <w:szCs w:val="24"/>
        </w:rPr>
        <w:t xml:space="preserve">). Основная структура осложнена более мелкими складками широтного простирания. Вторичная складчатость выражена в виде пологих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брахискладок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. Наиболее ярко выраженными из них являются центральная антиклинальная складка и сопряженные с ней северная и южная синклинали.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 xml:space="preserve">Остальные мелкие складки развиты, в основном, в пределах выходов угольного пласта на дневную поверхность, придавая ему извилистые очертания.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Для изучения гидрогеологических условий на месторождении пробурены 4 гидрогеологические скважины, расположенные в областях питания, транзита и разгрузки подземных вод. В результате проведенных исследований были изучены гидрогеологические условия вскрываемой юрской толщи: получены гидрогеологические параметры, позволяющие рассчитать водопротоки в карьер; изучен химический состав подземных вод; по режимным наблюдениям, построены графики колебаний уровней.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На самом участке отсутствуют постоянные водотоки и водоемы. В 2.5км западнее границы месторождения с севера на юг протекает река Кара- Су с отметкой уровня воды 630м, что на 110м ниже отметки дна карьера.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В геологическом строении участок принимают участие палеозойские, юрские и четвертичные отложения. Из этих отложений обводненными являются юрские и палеозойские отложения.</w:t>
      </w:r>
    </w:p>
    <w:p w:rsidR="003234E7" w:rsidRDefault="003234E7" w:rsidP="00323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518"/>
          <w:tab w:val="left" w:pos="16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E7" w:rsidRDefault="003234E7" w:rsidP="003234E7">
      <w:pPr>
        <w:pStyle w:val="111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4.</w:t>
      </w:r>
      <w:r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234E7" w:rsidRDefault="003234E7" w:rsidP="003234E7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4.1.</w:t>
      </w:r>
      <w:r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4.2.</w:t>
      </w:r>
      <w:r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E55305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</w:t>
      </w:r>
      <w:r w:rsidR="00E55305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5.</w:t>
      </w:r>
      <w:r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982560">
        <w:rPr>
          <w:rStyle w:val="FontStyle16"/>
          <w:rFonts w:eastAsia="Gungsuh"/>
          <w:sz w:val="24"/>
          <w:szCs w:val="24"/>
        </w:rPr>
        <w:t>18</w:t>
      </w:r>
      <w:r>
        <w:rPr>
          <w:rStyle w:val="FontStyle16"/>
          <w:rFonts w:eastAsia="Gungsuh"/>
          <w:sz w:val="24"/>
          <w:szCs w:val="24"/>
        </w:rPr>
        <w:t xml:space="preserve"> </w:t>
      </w:r>
      <w:r w:rsidR="00982560">
        <w:rPr>
          <w:rStyle w:val="FontStyle16"/>
          <w:rFonts w:eastAsia="Gungsuh"/>
          <w:sz w:val="24"/>
          <w:szCs w:val="24"/>
        </w:rPr>
        <w:t>феврал</w:t>
      </w:r>
      <w:r>
        <w:rPr>
          <w:rStyle w:val="FontStyle16"/>
          <w:rFonts w:eastAsia="Gungsuh"/>
          <w:sz w:val="24"/>
          <w:szCs w:val="24"/>
        </w:rPr>
        <w:t xml:space="preserve">я 2022 года в </w:t>
      </w:r>
      <w:r>
        <w:rPr>
          <w:rStyle w:val="FontStyle16"/>
          <w:rFonts w:eastAsia="Gungsuh"/>
          <w:sz w:val="24"/>
          <w:szCs w:val="24"/>
          <w:lang w:val="ky-KG"/>
        </w:rPr>
        <w:t xml:space="preserve">городе </w:t>
      </w:r>
      <w:proofErr w:type="spellStart"/>
      <w:r>
        <w:rPr>
          <w:rStyle w:val="FontStyle16"/>
          <w:rFonts w:eastAsia="Gungsuh"/>
          <w:sz w:val="24"/>
          <w:szCs w:val="24"/>
        </w:rPr>
        <w:t>Кербен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Style w:val="FontStyle16"/>
          <w:rFonts w:eastAsia="Gungsuh"/>
          <w:sz w:val="24"/>
          <w:szCs w:val="24"/>
        </w:rPr>
        <w:t>Аксыйского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Регистрация участников аукциона: с 10-00 часов до 10-30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6.</w:t>
      </w:r>
      <w:r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982560">
        <w:rPr>
          <w:rStyle w:val="FontStyle16"/>
          <w:rFonts w:eastAsia="Gungsuh"/>
          <w:sz w:val="24"/>
          <w:szCs w:val="24"/>
        </w:rPr>
        <w:t>31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дека</w:t>
      </w:r>
      <w:proofErr w:type="spellStart"/>
      <w:r>
        <w:rPr>
          <w:rStyle w:val="FontStyle16"/>
          <w:rFonts w:eastAsia="Gungsuh"/>
          <w:sz w:val="24"/>
          <w:szCs w:val="24"/>
        </w:rPr>
        <w:t>бря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2021 года по 1</w:t>
      </w:r>
      <w:r w:rsidR="00982560">
        <w:rPr>
          <w:rStyle w:val="FontStyle16"/>
          <w:rFonts w:eastAsia="Gungsuh"/>
          <w:sz w:val="24"/>
          <w:szCs w:val="24"/>
        </w:rPr>
        <w:t>4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феврал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Республики,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220.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lastRenderedPageBreak/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Государственного агентства геологии и недропользования при Министерстве энергетики и промышленности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</w:t>
      </w:r>
      <w:r w:rsidR="00982560">
        <w:rPr>
          <w:rStyle w:val="FontStyle16"/>
          <w:rFonts w:eastAsia="Gungsuh"/>
          <w:sz w:val="24"/>
          <w:szCs w:val="24"/>
        </w:rPr>
        <w:t>укциона заявку до 18-00 часов 14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феврал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3234E7" w:rsidRDefault="003234E7" w:rsidP="003234E7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>
        <w:t>Кыргызской</w:t>
      </w:r>
      <w:proofErr w:type="spellEnd"/>
      <w:r>
        <w:t xml:space="preserve"> Республике долю участия в уставном капитале.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</w:rPr>
        <w:t xml:space="preserve"> 10 000 сомов</w:t>
      </w:r>
      <w:r>
        <w:rPr>
          <w:rStyle w:val="FontStyle16"/>
          <w:rFonts w:eastAsia="Gungsuh"/>
        </w:rPr>
        <w:t>, а гарантийный взнос –</w:t>
      </w:r>
      <w:r>
        <w:rPr>
          <w:rStyle w:val="FontStyle16"/>
          <w:rFonts w:eastAsia="Gungsuh"/>
          <w:b/>
        </w:rPr>
        <w:t xml:space="preserve"> </w:t>
      </w:r>
      <w:r w:rsidR="00E55305">
        <w:rPr>
          <w:rStyle w:val="FontStyle16"/>
          <w:rFonts w:eastAsia="Gungsuh"/>
          <w:b/>
        </w:rPr>
        <w:t>1340</w:t>
      </w:r>
      <w:r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440001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>
        <w:rPr>
          <w:rFonts w:ascii="Times New Roman" w:hAnsi="Times New Roman" w:cs="Times New Roman"/>
          <w:sz w:val="24"/>
          <w:szCs w:val="24"/>
        </w:rPr>
        <w:t>4402031103010257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>
        <w:rPr>
          <w:rStyle w:val="FontStyle16"/>
          <w:rFonts w:eastAsia="Gungsuh"/>
        </w:rPr>
        <w:t>либо</w:t>
      </w:r>
      <w:proofErr w:type="gramEnd"/>
      <w:r>
        <w:rPr>
          <w:rStyle w:val="FontStyle16"/>
          <w:rFonts w:eastAsia="Gungsuh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234E7" w:rsidRDefault="003234E7" w:rsidP="003234E7">
      <w:pPr>
        <w:pStyle w:val="Style2"/>
        <w:widowControl/>
        <w:spacing w:line="276" w:lineRule="auto"/>
        <w:ind w:firstLine="709"/>
      </w:pPr>
      <w:r>
        <w:t>В случае отмены аукциона ранее поданные заявки и внесенные гарантийные взносы подлежат возврату заявителям.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lastRenderedPageBreak/>
        <w:t>- отказа участвовать в аукционе, после регистрации участников;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подписать протокол итогов аукциона;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оплатить заявленную сумму;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10.</w:t>
      </w:r>
      <w:r>
        <w:rPr>
          <w:rStyle w:val="FontStyle16"/>
          <w:rFonts w:eastAsia="Gungsuh"/>
          <w:b/>
        </w:rPr>
        <w:tab/>
        <w:t>Стартовая цена объекта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Стартовая цена объекта аукциона составляет </w:t>
      </w:r>
      <w:r w:rsidR="00E55305" w:rsidRPr="00E55305">
        <w:rPr>
          <w:rStyle w:val="FontStyle16"/>
          <w:rFonts w:eastAsia="Gungsuh"/>
          <w:b/>
        </w:rPr>
        <w:t>737</w:t>
      </w:r>
      <w:r w:rsidRPr="00982560"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11.</w:t>
      </w:r>
      <w:r>
        <w:rPr>
          <w:rStyle w:val="FontStyle16"/>
          <w:rFonts w:eastAsia="Gungsuh"/>
          <w:b/>
        </w:rPr>
        <w:tab/>
        <w:t>Шаг аукциона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Шаг аукциона устанавливается в размере </w:t>
      </w:r>
      <w:r w:rsidR="00E55305" w:rsidRPr="00E55305">
        <w:rPr>
          <w:rStyle w:val="FontStyle16"/>
          <w:rFonts w:eastAsia="Gungsuh"/>
          <w:b/>
        </w:rPr>
        <w:t>73</w:t>
      </w:r>
      <w:r w:rsidRPr="00E55305"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 xml:space="preserve">, максимальный шаг – </w:t>
      </w:r>
      <w:r w:rsidR="00E55305">
        <w:rPr>
          <w:rStyle w:val="FontStyle16"/>
          <w:rFonts w:eastAsia="Gungsuh"/>
          <w:b/>
        </w:rPr>
        <w:t>7370</w:t>
      </w:r>
      <w:r>
        <w:rPr>
          <w:rStyle w:val="FontStyle16"/>
          <w:rFonts w:eastAsia="Gungsuh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r>
        <w:rPr>
          <w:rStyle w:val="FontStyle16"/>
          <w:rFonts w:eastAsia="Gungsuh"/>
          <w:b/>
          <w:color w:val="000000" w:themeColor="text1"/>
        </w:rPr>
        <w:t>12.</w:t>
      </w:r>
      <w:r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>
        <w:rPr>
          <w:rStyle w:val="FontStyle16"/>
          <w:rFonts w:eastAsia="Gungsuh"/>
          <w:color w:val="000000" w:themeColor="text1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/>
    <w:p w:rsidR="004E6AF6" w:rsidRDefault="004E6AF6"/>
    <w:sectPr w:rsidR="004E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9"/>
    <w:rsid w:val="000229D9"/>
    <w:rsid w:val="003234E7"/>
    <w:rsid w:val="003C6906"/>
    <w:rsid w:val="004E6AF6"/>
    <w:rsid w:val="00881A2E"/>
    <w:rsid w:val="00982560"/>
    <w:rsid w:val="00E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1E130"/>
  <w15:chartTrackingRefBased/>
  <w15:docId w15:val="{C8B0F6EF-F65B-4691-9E96-6F443CC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234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234E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234E7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234E7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6">
    <w:name w:val="Font Style16"/>
    <w:rsid w:val="003234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2021-12-29T05:09:00Z</dcterms:created>
  <dcterms:modified xsi:type="dcterms:W3CDTF">2022-03-10T09:52:00Z</dcterms:modified>
</cp:coreProperties>
</file>